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7962" w14:textId="77777777" w:rsidR="001E3015" w:rsidRDefault="001E3015">
      <w:bookmarkStart w:id="0" w:name="_GoBack"/>
      <w:bookmarkEnd w:id="0"/>
    </w:p>
    <w:p w14:paraId="78215860" w14:textId="77777777" w:rsidR="001E3015" w:rsidRDefault="004B7F72">
      <w:pPr>
        <w:jc w:val="center"/>
        <w:rPr>
          <w:b/>
        </w:rPr>
      </w:pPr>
      <w:r>
        <w:rPr>
          <w:b/>
        </w:rPr>
        <w:t>OPERATIVNI NAČRT za delo šolskega projektnega tima v projektu ATS STEM v šolskem letu 2019/20</w:t>
      </w:r>
    </w:p>
    <w:p w14:paraId="3248486C" w14:textId="77777777" w:rsidR="001E3015" w:rsidRDefault="004B7F72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11260"/>
      </w:tblGrid>
      <w:tr w:rsidR="001E3015" w14:paraId="35CB74C7" w14:textId="77777777">
        <w:trPr>
          <w:trHeight w:val="800"/>
        </w:trPr>
        <w:tc>
          <w:tcPr>
            <w:tcW w:w="2485" w:type="dxa"/>
            <w:vAlign w:val="center"/>
          </w:tcPr>
          <w:p w14:paraId="1A0F2E87" w14:textId="77777777" w:rsidR="001E3015" w:rsidRDefault="001E3015"/>
          <w:p w14:paraId="5378BBF8" w14:textId="77777777" w:rsidR="001E3015" w:rsidRDefault="004B7F72">
            <w:r>
              <w:t>OSNOVNA ŠOLA</w:t>
            </w:r>
          </w:p>
          <w:p w14:paraId="59D00B82" w14:textId="77777777" w:rsidR="001E3015" w:rsidRDefault="001E3015"/>
        </w:tc>
        <w:tc>
          <w:tcPr>
            <w:tcW w:w="11260" w:type="dxa"/>
            <w:vAlign w:val="center"/>
          </w:tcPr>
          <w:p w14:paraId="1D566214" w14:textId="77777777" w:rsidR="001E3015" w:rsidRDefault="001E3015">
            <w:pPr>
              <w:ind w:left="317"/>
              <w:rPr>
                <w:color w:val="0000FF"/>
              </w:rPr>
            </w:pPr>
          </w:p>
          <w:p w14:paraId="15FD69AB" w14:textId="77777777" w:rsidR="001E3015" w:rsidRDefault="004B7F72">
            <w:pPr>
              <w:ind w:left="317"/>
              <w:rPr>
                <w:color w:val="0000FF"/>
              </w:rPr>
            </w:pPr>
            <w:r>
              <w:rPr>
                <w:color w:val="0000FF"/>
              </w:rPr>
              <w:t>OSNOVNA ŠOLA SVETI TOMAŽ</w:t>
            </w:r>
          </w:p>
        </w:tc>
      </w:tr>
      <w:tr w:rsidR="001E3015" w14:paraId="4345243F" w14:textId="77777777">
        <w:trPr>
          <w:trHeight w:val="800"/>
        </w:trPr>
        <w:tc>
          <w:tcPr>
            <w:tcW w:w="2485" w:type="dxa"/>
            <w:vAlign w:val="center"/>
          </w:tcPr>
          <w:p w14:paraId="594BBDD9" w14:textId="77777777" w:rsidR="001E3015" w:rsidRDefault="004B7F72">
            <w:r>
              <w:t>RAVNATELJ/-ICA</w:t>
            </w:r>
          </w:p>
        </w:tc>
        <w:tc>
          <w:tcPr>
            <w:tcW w:w="11260" w:type="dxa"/>
            <w:vAlign w:val="center"/>
          </w:tcPr>
          <w:p w14:paraId="49BF1994" w14:textId="77777777" w:rsidR="001E3015" w:rsidRDefault="004B7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FF"/>
              </w:rPr>
            </w:pPr>
            <w:r>
              <w:rPr>
                <w:color w:val="0000FF"/>
              </w:rPr>
              <w:t>IRMA MURAD</w:t>
            </w:r>
          </w:p>
        </w:tc>
      </w:tr>
      <w:tr w:rsidR="001E3015" w14:paraId="4D08D74F" w14:textId="77777777">
        <w:trPr>
          <w:trHeight w:val="1240"/>
        </w:trPr>
        <w:tc>
          <w:tcPr>
            <w:tcW w:w="2485" w:type="dxa"/>
            <w:vAlign w:val="center"/>
          </w:tcPr>
          <w:p w14:paraId="4E8C6ACA" w14:textId="77777777" w:rsidR="001E3015" w:rsidRDefault="004B7F72">
            <w:r>
              <w:t xml:space="preserve">Člani projektnega tima </w:t>
            </w:r>
          </w:p>
        </w:tc>
        <w:tc>
          <w:tcPr>
            <w:tcW w:w="11260" w:type="dxa"/>
            <w:vAlign w:val="center"/>
          </w:tcPr>
          <w:p w14:paraId="7BE9A26B" w14:textId="77777777" w:rsidR="001E3015" w:rsidRDefault="004B7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FF"/>
              </w:rPr>
            </w:pPr>
            <w:r>
              <w:rPr>
                <w:color w:val="0000FF"/>
              </w:rPr>
              <w:t xml:space="preserve">Tadeja Vrbnjak Zorman, Kristina </w:t>
            </w:r>
            <w:proofErr w:type="spellStart"/>
            <w:r>
              <w:rPr>
                <w:color w:val="0000FF"/>
              </w:rPr>
              <w:t>Hekić</w:t>
            </w:r>
            <w:proofErr w:type="spellEnd"/>
            <w:r>
              <w:rPr>
                <w:color w:val="0000FF"/>
              </w:rPr>
              <w:t>, Mateja Munda, Barbara Colnarič, Drago Slavinec</w:t>
            </w:r>
          </w:p>
        </w:tc>
      </w:tr>
      <w:tr w:rsidR="001E3015" w14:paraId="2C2926EB" w14:textId="77777777">
        <w:trPr>
          <w:trHeight w:val="980"/>
        </w:trPr>
        <w:tc>
          <w:tcPr>
            <w:tcW w:w="2485" w:type="dxa"/>
            <w:vMerge w:val="restart"/>
            <w:vAlign w:val="center"/>
          </w:tcPr>
          <w:p w14:paraId="6738D607" w14:textId="77777777" w:rsidR="001E3015" w:rsidRDefault="004B7F72">
            <w:r>
              <w:t>Prečne veščine, ki jih boste sistematično razvijali in spremljali v šolskem letu 2019/20</w:t>
            </w:r>
          </w:p>
        </w:tc>
        <w:tc>
          <w:tcPr>
            <w:tcW w:w="11260" w:type="dxa"/>
            <w:vAlign w:val="center"/>
          </w:tcPr>
          <w:p w14:paraId="0A77ACB4" w14:textId="77777777" w:rsidR="001E3015" w:rsidRDefault="004B7F72">
            <w:pPr>
              <w:rPr>
                <w:color w:val="0000FF"/>
              </w:rPr>
            </w:pPr>
            <w:r>
              <w:rPr>
                <w:color w:val="0000FF"/>
              </w:rPr>
              <w:t>__6._ razred: Kritično mišljenje, Učenje z raziskovanjem</w:t>
            </w:r>
          </w:p>
        </w:tc>
      </w:tr>
      <w:tr w:rsidR="001E3015" w14:paraId="1C2252AB" w14:textId="77777777">
        <w:trPr>
          <w:trHeight w:val="980"/>
        </w:trPr>
        <w:tc>
          <w:tcPr>
            <w:tcW w:w="2485" w:type="dxa"/>
            <w:vMerge/>
            <w:vAlign w:val="center"/>
          </w:tcPr>
          <w:p w14:paraId="41C6E1AF" w14:textId="77777777" w:rsidR="001E3015" w:rsidRDefault="001E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</w:rPr>
            </w:pPr>
          </w:p>
        </w:tc>
        <w:tc>
          <w:tcPr>
            <w:tcW w:w="11260" w:type="dxa"/>
            <w:vAlign w:val="center"/>
          </w:tcPr>
          <w:p w14:paraId="05CCC806" w14:textId="77777777" w:rsidR="001E3015" w:rsidRDefault="004B7F72">
            <w:pPr>
              <w:rPr>
                <w:color w:val="0000FF"/>
              </w:rPr>
            </w:pPr>
            <w:r>
              <w:rPr>
                <w:color w:val="0000FF"/>
              </w:rPr>
              <w:t>__7._ razred: Kritično mišljenje, Učenje z raziskovanjem</w:t>
            </w:r>
          </w:p>
        </w:tc>
      </w:tr>
    </w:tbl>
    <w:p w14:paraId="6BCA1E58" w14:textId="77777777" w:rsidR="001E3015" w:rsidRDefault="001E3015"/>
    <w:p w14:paraId="43FB06F6" w14:textId="77777777" w:rsidR="001E3015" w:rsidRDefault="001E3015"/>
    <w:p w14:paraId="1046E1EA" w14:textId="77777777" w:rsidR="001E3015" w:rsidRDefault="001E3015"/>
    <w:p w14:paraId="0A55799F" w14:textId="77777777" w:rsidR="001E3015" w:rsidRDefault="001E3015"/>
    <w:p w14:paraId="0C27714D" w14:textId="77777777" w:rsidR="001E3015" w:rsidRDefault="004B7F72">
      <w:r>
        <w:br w:type="page"/>
      </w:r>
    </w:p>
    <w:p w14:paraId="603254B6" w14:textId="77777777" w:rsidR="001E3015" w:rsidRDefault="004B7F72">
      <w:pPr>
        <w:rPr>
          <w:b/>
        </w:rPr>
      </w:pPr>
      <w:r>
        <w:rPr>
          <w:b/>
        </w:rPr>
        <w:lastRenderedPageBreak/>
        <w:t>II. ANALIZA STANJA</w:t>
      </w:r>
    </w:p>
    <w:p w14:paraId="05E8BDBC" w14:textId="77777777" w:rsidR="001E3015" w:rsidRDefault="004B7F72">
      <w:pPr>
        <w:rPr>
          <w:b/>
        </w:rPr>
      </w:pPr>
      <w:r>
        <w:rPr>
          <w:b/>
        </w:rPr>
        <w:t>Zapišite analizo stanja na vaši šoli pred začetkom izvajanja dejavnosti v okviru projekta. Pri analizi se osredotočite na spodaj našteta področja označena od a - d. Vprašanja pri posameznem področju naj vam bodo vodilo pri opisovanju stanja na določenem po</w:t>
      </w:r>
      <w:r>
        <w:rPr>
          <w:b/>
        </w:rPr>
        <w:t>dročju. Analiza naj zajema vse člane tima oz. je zapisana za splošno stanje na šoli, podprta z dokazili. Če se v timu pri določenem vprašanju/področju zelo razlikujete, bodite konkretni v opisu razlik in v tem zakaj  prihaja do razlik.</w:t>
      </w:r>
    </w:p>
    <w:p w14:paraId="4CC39330" w14:textId="77777777" w:rsidR="001E3015" w:rsidRDefault="004B7F72">
      <w:bookmarkStart w:id="1" w:name="_gjdgxs" w:colFirst="0" w:colLast="0"/>
      <w:bookmarkEnd w:id="1"/>
      <w:r>
        <w:t>a) načrtovanje pouka</w:t>
      </w:r>
    </w:p>
    <w:p w14:paraId="05F273A1" w14:textId="77777777" w:rsidR="001E3015" w:rsidRDefault="004B7F72">
      <w:pPr>
        <w:rPr>
          <w:color w:val="0000FF"/>
        </w:rPr>
      </w:pPr>
      <w:bookmarkStart w:id="2" w:name="_30j0zll" w:colFirst="0" w:colLast="0"/>
      <w:bookmarkEnd w:id="2"/>
      <w:r>
        <w:t xml:space="preserve">Kaj vam je ključno vodilo pri načrtovanju pouka?  </w:t>
      </w:r>
      <w:r>
        <w:rPr>
          <w:color w:val="0000FF"/>
        </w:rPr>
        <w:t>Učni načrt. Dodatno: evalvacija aktivov prejšnjega šolskega leta, analiza NPZ, preverjanje predznanja učencev.</w:t>
      </w:r>
    </w:p>
    <w:p w14:paraId="414A9D23" w14:textId="77777777" w:rsidR="001E3015" w:rsidRDefault="004B7F72">
      <w:bookmarkStart w:id="3" w:name="_1fob9te" w:colFirst="0" w:colLast="0"/>
      <w:bookmarkEnd w:id="3"/>
      <w:r>
        <w:t>b) razvijanje prečnih veščin</w:t>
      </w:r>
    </w:p>
    <w:p w14:paraId="667B23A6" w14:textId="77777777" w:rsidR="001E3015" w:rsidRDefault="004B7F72">
      <w:bookmarkStart w:id="4" w:name="_3znysh7" w:colFirst="0" w:colLast="0"/>
      <w:bookmarkEnd w:id="4"/>
      <w:r>
        <w:t>V kolikšni meri ste pri načrtovanju dejavnosti pozorni na razvija</w:t>
      </w:r>
      <w:r>
        <w:t>nje veščin? Katere prečne veščine ste že doslej sistematično razvijali oz. vključevali v pouk? Na kakšne načine, s katerimi dejavnostmi? Iz česa sklepate na uspešnost učencev na področju usvojenih veščin? Ali ste veščine tudi vrednotili (preverili, ocenjev</w:t>
      </w:r>
      <w:r>
        <w:t>ali)? Iz katerih kriterijev ste pri tem izhajali?</w:t>
      </w:r>
    </w:p>
    <w:p w14:paraId="1D1392A4" w14:textId="77777777" w:rsidR="001E3015" w:rsidRDefault="004B7F72">
      <w:pPr>
        <w:rPr>
          <w:color w:val="0000FF"/>
        </w:rPr>
      </w:pPr>
      <w:r>
        <w:rPr>
          <w:color w:val="0000FF"/>
        </w:rPr>
        <w:t>Prečne veščine na ravni šole sistematično ne načrtujemo, ampak jih vključujemo v pouk, pri določenih predmetih pa, in sicer sodelovanje in komunikacija, ostale prečne veščine (učenje s preiskovanjem, učenje</w:t>
      </w:r>
      <w:r>
        <w:rPr>
          <w:color w:val="0000FF"/>
        </w:rPr>
        <w:t xml:space="preserve"> z raziskovanjem in kritično mišljenje) pa vsaj nekajkrat letno na primer pri naravoslovju. Prečne veščine vključujemo v pouk pri usvajanju novih vsebin, pri utrjevanju in preverjanju znanja, ne pa pri ocenjevanju. Vodilo pri vključevanju prečnih veščin so</w:t>
      </w:r>
      <w:r>
        <w:rPr>
          <w:color w:val="0000FF"/>
        </w:rPr>
        <w:t xml:space="preserve"> bili operativni cilji učnega načrta določenega predmeta. Posebnih kriterijev nismo oblikovali. </w:t>
      </w:r>
    </w:p>
    <w:p w14:paraId="12ED504F" w14:textId="77777777" w:rsidR="001E3015" w:rsidRDefault="001E3015"/>
    <w:p w14:paraId="352E990D" w14:textId="77777777" w:rsidR="001E3015" w:rsidRDefault="004B7F72">
      <w:bookmarkStart w:id="5" w:name="_2et92p0" w:colFirst="0" w:colLast="0"/>
      <w:bookmarkEnd w:id="5"/>
      <w:r>
        <w:t>Učenje z raziskovanjem: Kako pogosto vključujete učenje z raziskovanjem v svoj pouk? Kateri didaktični pristopi pri tem prevladujejo (npr. eksperimentalno del</w:t>
      </w:r>
      <w:r>
        <w:t>o, metode reševanja problema, projektno delo ... )? Na katerih veščinah raziskovanja je poudarek (npr. zastavljanje raziskovalnih vprašanj, načrtovanje, analiza rezultatov …)? Ali znanja/veščine pridobljene pri učenju z raziskovanjem vrednotite in po kater</w:t>
      </w:r>
      <w:r>
        <w:t>ih kriterijih?</w:t>
      </w:r>
    </w:p>
    <w:p w14:paraId="57B263F5" w14:textId="77777777" w:rsidR="001E3015" w:rsidRDefault="004B7F72">
      <w:pPr>
        <w:rPr>
          <w:color w:val="0000FF"/>
        </w:rPr>
      </w:pPr>
      <w:r>
        <w:rPr>
          <w:color w:val="0000FF"/>
        </w:rPr>
        <w:t>Učenje z raziskovanjem vključujemo v pouk nekajkrat letno, pri NAR pa tedensko kot eksperimentalno delo.  Pri tem prevladujejo didaktični pristopi: eksperimentalno delo in metoda reševanja problemov. Pri raziskovanju dajemo poudarek vsem veš</w:t>
      </w:r>
      <w:r>
        <w:rPr>
          <w:color w:val="0000FF"/>
        </w:rPr>
        <w:t xml:space="preserve">činam: zastavljanju raziskovalnih  vprašanj, načrtovanje, izvedba, analiza rezultatov. Na primer pri matematiki izvedba ankete. </w:t>
      </w:r>
    </w:p>
    <w:p w14:paraId="71B19ED8" w14:textId="77777777" w:rsidR="001E3015" w:rsidRDefault="004B7F72">
      <w:bookmarkStart w:id="6" w:name="_tyjcwt" w:colFirst="0" w:colLast="0"/>
      <w:bookmarkEnd w:id="6"/>
      <w:r>
        <w:t>d) formativno spremljanje</w:t>
      </w:r>
    </w:p>
    <w:p w14:paraId="4627B370" w14:textId="77777777" w:rsidR="001E3015" w:rsidRDefault="004B7F72">
      <w:r>
        <w:lastRenderedPageBreak/>
        <w:t>V kolikšni meri pri svojem poučevanju izhajate iz načel formativnega spremljanja? Kateri elementi for</w:t>
      </w:r>
      <w:r>
        <w:t>mativnega spremljanja so v ospredju?</w:t>
      </w:r>
    </w:p>
    <w:p w14:paraId="7C1BA9F9" w14:textId="77777777" w:rsidR="001E3015" w:rsidRDefault="004B7F72">
      <w:pPr>
        <w:rPr>
          <w:color w:val="0000FF"/>
        </w:rPr>
      </w:pPr>
      <w:r>
        <w:rPr>
          <w:color w:val="0000FF"/>
        </w:rPr>
        <w:t>Pri svojem poučevanju vsakodnevno uporabljamo elemente formativnega spremljanja, in sicer vse elemente formativnega spremljanja: načine učenja pred uvedbo novih vsebin, kriterije uspešnosti ob koncu večjih sklopov, redn</w:t>
      </w:r>
      <w:r>
        <w:rPr>
          <w:color w:val="0000FF"/>
        </w:rPr>
        <w:t xml:space="preserve">o ugotavljamo predznanje in zbiramo dokaze učenja. </w:t>
      </w:r>
    </w:p>
    <w:p w14:paraId="4C54B0F0" w14:textId="77777777" w:rsidR="001E3015" w:rsidRDefault="004B7F72">
      <w:bookmarkStart w:id="7" w:name="_3dy6vkm" w:colFirst="0" w:colLast="0"/>
      <w:bookmarkEnd w:id="7"/>
      <w:r>
        <w:t>c) uporaba IKT pri pouku</w:t>
      </w:r>
    </w:p>
    <w:p w14:paraId="6814CE36" w14:textId="77777777" w:rsidR="001E3015" w:rsidRDefault="004B7F72">
      <w:bookmarkStart w:id="8" w:name="_1t3h5sf" w:colFirst="0" w:colLast="0"/>
      <w:bookmarkEnd w:id="8"/>
      <w:r>
        <w:t>Kako pogosto pri svojem pouku vključujete IKT orodja? Katera in v kakšne namene? Ali uporabljate IKT orodja tudi z namenom formativnega spremljanja učencev? Če da, katera?</w:t>
      </w:r>
    </w:p>
    <w:p w14:paraId="0137E475" w14:textId="77777777" w:rsidR="001E3015" w:rsidRDefault="004B7F72">
      <w:pPr>
        <w:rPr>
          <w:color w:val="0000FF"/>
        </w:rPr>
      </w:pPr>
      <w:r>
        <w:rPr>
          <w:color w:val="0000FF"/>
        </w:rPr>
        <w:t>IKT orodja redno vključujemo pri pouku, in sicer žepno računalo, interaktivno tablo z orodji, E-učbenike, spletne aplikacije (</w:t>
      </w:r>
      <w:proofErr w:type="spellStart"/>
      <w:r>
        <w:rPr>
          <w:color w:val="0000FF"/>
        </w:rPr>
        <w:t>Lefo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Geogebra</w:t>
      </w:r>
      <w:proofErr w:type="spellEnd"/>
      <w:r>
        <w:rPr>
          <w:color w:val="0000FF"/>
        </w:rPr>
        <w:t xml:space="preserve">,…). IKT orodja uporabljamo predvsem pri elementu formativnega spremljanja ugotavljanje predznanja. </w:t>
      </w:r>
    </w:p>
    <w:p w14:paraId="58441320" w14:textId="77777777" w:rsidR="001E3015" w:rsidRDefault="004B7F72">
      <w:bookmarkStart w:id="9" w:name="_4d34og8" w:colFirst="0" w:colLast="0"/>
      <w:bookmarkEnd w:id="9"/>
      <w:r>
        <w:t>d) medpredmetno</w:t>
      </w:r>
      <w:r>
        <w:t xml:space="preserve"> povezovanje</w:t>
      </w:r>
    </w:p>
    <w:p w14:paraId="469E9C6D" w14:textId="77777777" w:rsidR="001E3015" w:rsidRDefault="004B7F72">
      <w:r>
        <w:t>Kaj je najpogosteje povod/namen medpredmetnega sodelovanja učiteljev na vaši šoli? Iz česa izhajate pri medpredmetnem načrtovanju?  Katere izvedbene oblike prevladujejo? Navedite konkretne primere povezovanja. V kolikšni meri medpredmetno pove</w:t>
      </w:r>
      <w:r>
        <w:t xml:space="preserve">zujete cilje naravoslovnih predmetov po horizontali in vertikali? V kolikšni meri poučujete predmet naravoslovje (6. in 7. razred) z interdisciplinarnim pristopom (povezujete cilje naravoslovnih disciplin)? </w:t>
      </w:r>
    </w:p>
    <w:p w14:paraId="4DE3D2D2" w14:textId="77777777" w:rsidR="001E3015" w:rsidRDefault="004B7F72">
      <w:pPr>
        <w:rPr>
          <w:color w:val="0000FF"/>
        </w:rPr>
      </w:pPr>
      <w:r>
        <w:rPr>
          <w:color w:val="0000FF"/>
        </w:rPr>
        <w:t>Medpredmetno povezovanje na naši šoli ni utečena</w:t>
      </w:r>
      <w:r>
        <w:rPr>
          <w:color w:val="0000FF"/>
        </w:rPr>
        <w:t xml:space="preserve"> praksa.  Primer dobre prakse pa je povezovanje naravoslovja in tujega jezika angleščina. </w:t>
      </w:r>
    </w:p>
    <w:p w14:paraId="381B983C" w14:textId="77777777" w:rsidR="001E3015" w:rsidRDefault="001E3015"/>
    <w:p w14:paraId="15ABF663" w14:textId="77777777" w:rsidR="001E3015" w:rsidRDefault="004B7F72">
      <w:pPr>
        <w:rPr>
          <w:b/>
        </w:rPr>
      </w:pPr>
      <w:r>
        <w:rPr>
          <w:b/>
        </w:rPr>
        <w:t>III. IZVEDBENI NAČRT ZA ŠOLSKO LETO 2019/20</w:t>
      </w:r>
    </w:p>
    <w:tbl>
      <w:tblPr>
        <w:tblStyle w:val="a0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2487"/>
        <w:gridCol w:w="2801"/>
        <w:gridCol w:w="2886"/>
        <w:gridCol w:w="2767"/>
      </w:tblGrid>
      <w:tr w:rsidR="001E3015" w14:paraId="13CE8784" w14:textId="77777777">
        <w:tc>
          <w:tcPr>
            <w:tcW w:w="3053" w:type="dxa"/>
            <w:shd w:val="clear" w:color="auto" w:fill="57D3FF"/>
          </w:tcPr>
          <w:p w14:paraId="0117FD79" w14:textId="77777777" w:rsidR="001E3015" w:rsidRDefault="004B7F72">
            <w:r>
              <w:rPr>
                <w:b/>
              </w:rPr>
              <w:t>Kratek naslov/sklop dejavnosti, kdo jo izvaja</w:t>
            </w:r>
            <w:r>
              <w:t xml:space="preserve"> (iz naslova naj bo razvidna ključna veščina)</w:t>
            </w:r>
          </w:p>
          <w:p w14:paraId="1063C5B4" w14:textId="77777777" w:rsidR="001E3015" w:rsidRDefault="004B7F72">
            <w:pPr>
              <w:rPr>
                <w:b/>
              </w:rPr>
            </w:pPr>
            <w:r>
              <w:t>Npr. raziskujemo svetlobo</w:t>
            </w:r>
          </w:p>
        </w:tc>
        <w:tc>
          <w:tcPr>
            <w:tcW w:w="2487" w:type="dxa"/>
            <w:shd w:val="clear" w:color="auto" w:fill="57D3FF"/>
          </w:tcPr>
          <w:p w14:paraId="5EA44D73" w14:textId="77777777" w:rsidR="001E3015" w:rsidRDefault="004B7F72">
            <w:pPr>
              <w:rPr>
                <w:b/>
              </w:rPr>
            </w:pPr>
            <w:r>
              <w:rPr>
                <w:b/>
              </w:rPr>
              <w:t>Raz</w:t>
            </w:r>
            <w:r>
              <w:rPr>
                <w:b/>
              </w:rPr>
              <w:t>red</w:t>
            </w:r>
          </w:p>
          <w:p w14:paraId="603C2FEC" w14:textId="77777777" w:rsidR="001E3015" w:rsidRDefault="004B7F72">
            <w:pPr>
              <w:rPr>
                <w:b/>
              </w:rPr>
            </w:pPr>
            <w:r>
              <w:rPr>
                <w:b/>
              </w:rPr>
              <w:t>Predmet/-i</w:t>
            </w:r>
          </w:p>
        </w:tc>
        <w:tc>
          <w:tcPr>
            <w:tcW w:w="2801" w:type="dxa"/>
            <w:shd w:val="clear" w:color="auto" w:fill="57D3FF"/>
          </w:tcPr>
          <w:p w14:paraId="00074B8D" w14:textId="77777777" w:rsidR="001E3015" w:rsidRDefault="004B7F72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32EA1965" w14:textId="77777777" w:rsidR="001E3015" w:rsidRDefault="004B7F72">
            <w:r>
              <w:t>(okviren datum in planirano število ur)</w:t>
            </w:r>
          </w:p>
        </w:tc>
        <w:tc>
          <w:tcPr>
            <w:tcW w:w="2886" w:type="dxa"/>
            <w:shd w:val="clear" w:color="auto" w:fill="57D3FF"/>
          </w:tcPr>
          <w:p w14:paraId="59DD01DF" w14:textId="77777777" w:rsidR="001E3015" w:rsidRDefault="004B7F72">
            <w:pPr>
              <w:rPr>
                <w:b/>
              </w:rPr>
            </w:pPr>
            <w:r>
              <w:rPr>
                <w:b/>
              </w:rPr>
              <w:t>PREČNA/-e VEŠČINA/-e, KI SE RAZVIJA/-jo</w:t>
            </w:r>
          </w:p>
          <w:p w14:paraId="0E9DA8BF" w14:textId="77777777" w:rsidR="001E3015" w:rsidRDefault="004B7F72">
            <w:pPr>
              <w:rPr>
                <w:b/>
              </w:rPr>
            </w:pPr>
            <w:r>
              <w:rPr>
                <w:b/>
              </w:rPr>
              <w:t>DIGITALNA KOMPETENCA</w:t>
            </w:r>
          </w:p>
          <w:p w14:paraId="515F6DF8" w14:textId="77777777" w:rsidR="001E3015" w:rsidRDefault="004B7F72">
            <w:r>
              <w:t>Npr. katere vse veščine znotraj dejavnosti</w:t>
            </w:r>
          </w:p>
        </w:tc>
        <w:tc>
          <w:tcPr>
            <w:tcW w:w="2767" w:type="dxa"/>
            <w:shd w:val="clear" w:color="auto" w:fill="57D3FF"/>
          </w:tcPr>
          <w:p w14:paraId="550AA0FA" w14:textId="77777777" w:rsidR="001E3015" w:rsidRDefault="004B7F72">
            <w:pPr>
              <w:rPr>
                <w:b/>
              </w:rPr>
            </w:pPr>
            <w:r>
              <w:rPr>
                <w:b/>
              </w:rPr>
              <w:t>KAZALNIK (dokazila)</w:t>
            </w:r>
          </w:p>
        </w:tc>
      </w:tr>
      <w:tr w:rsidR="001E3015" w14:paraId="4E9BFD28" w14:textId="77777777">
        <w:tc>
          <w:tcPr>
            <w:tcW w:w="3053" w:type="dxa"/>
          </w:tcPr>
          <w:p w14:paraId="75318D9E" w14:textId="77777777" w:rsidR="001E3015" w:rsidRDefault="004B7F72">
            <w:r>
              <w:t>Merjenje pretoka</w:t>
            </w:r>
          </w:p>
        </w:tc>
        <w:tc>
          <w:tcPr>
            <w:tcW w:w="2487" w:type="dxa"/>
          </w:tcPr>
          <w:p w14:paraId="0912EF39" w14:textId="77777777" w:rsidR="001E3015" w:rsidRDefault="004B7F72">
            <w:r>
              <w:t>6. razred</w:t>
            </w:r>
          </w:p>
          <w:p w14:paraId="367004E5" w14:textId="77777777" w:rsidR="001E3015" w:rsidRDefault="004B7F72">
            <w:r>
              <w:t>NAR, MAT</w:t>
            </w:r>
          </w:p>
        </w:tc>
        <w:tc>
          <w:tcPr>
            <w:tcW w:w="2801" w:type="dxa"/>
          </w:tcPr>
          <w:p w14:paraId="02789EF6" w14:textId="77777777" w:rsidR="001E3015" w:rsidRDefault="004B7F72">
            <w:r>
              <w:t xml:space="preserve">Januar </w:t>
            </w:r>
          </w:p>
        </w:tc>
        <w:tc>
          <w:tcPr>
            <w:tcW w:w="2886" w:type="dxa"/>
          </w:tcPr>
          <w:p w14:paraId="6876E7B5" w14:textId="77777777" w:rsidR="001E3015" w:rsidRDefault="004B7F72">
            <w:r>
              <w:t>PV: Kritično mišljenje, raziskovanje</w:t>
            </w:r>
          </w:p>
          <w:p w14:paraId="34A3E845" w14:textId="77777777" w:rsidR="001E3015" w:rsidRDefault="004B7F72">
            <w:r>
              <w:t xml:space="preserve">DK: informacijska pismenost. </w:t>
            </w:r>
          </w:p>
        </w:tc>
        <w:tc>
          <w:tcPr>
            <w:tcW w:w="2767" w:type="dxa"/>
          </w:tcPr>
          <w:p w14:paraId="0F125D8F" w14:textId="77777777" w:rsidR="001E3015" w:rsidRDefault="004B7F72">
            <w:r>
              <w:t>Učni listi, delovni zvezek, slike, računalniški dokumenti</w:t>
            </w:r>
          </w:p>
        </w:tc>
      </w:tr>
      <w:tr w:rsidR="001E3015" w14:paraId="6982946E" w14:textId="77777777">
        <w:tc>
          <w:tcPr>
            <w:tcW w:w="3053" w:type="dxa"/>
          </w:tcPr>
          <w:p w14:paraId="514BC8F0" w14:textId="77777777" w:rsidR="001E3015" w:rsidRDefault="004B7F72">
            <w:r>
              <w:t>Pridobivanje električne energije</w:t>
            </w:r>
          </w:p>
        </w:tc>
        <w:tc>
          <w:tcPr>
            <w:tcW w:w="2487" w:type="dxa"/>
          </w:tcPr>
          <w:p w14:paraId="63687E1F" w14:textId="77777777" w:rsidR="001E3015" w:rsidRDefault="004B7F72">
            <w:r>
              <w:t>6. razred</w:t>
            </w:r>
          </w:p>
          <w:p w14:paraId="3ABB4A6C" w14:textId="77777777" w:rsidR="001E3015" w:rsidRDefault="004B7F72">
            <w:r>
              <w:t>NAR, MAT, TIT</w:t>
            </w:r>
          </w:p>
        </w:tc>
        <w:tc>
          <w:tcPr>
            <w:tcW w:w="2801" w:type="dxa"/>
          </w:tcPr>
          <w:p w14:paraId="3E22DEEF" w14:textId="77777777" w:rsidR="001E3015" w:rsidRDefault="004B7F72">
            <w:r>
              <w:t>Januar</w:t>
            </w:r>
          </w:p>
        </w:tc>
        <w:tc>
          <w:tcPr>
            <w:tcW w:w="2886" w:type="dxa"/>
          </w:tcPr>
          <w:p w14:paraId="5ACF5E86" w14:textId="77777777" w:rsidR="001E3015" w:rsidRDefault="004B7F72">
            <w:r>
              <w:t>PV: Kritično mišljenje, raziskovanje</w:t>
            </w:r>
          </w:p>
          <w:p w14:paraId="606A2381" w14:textId="77777777" w:rsidR="001E3015" w:rsidRDefault="004B7F72">
            <w:r>
              <w:lastRenderedPageBreak/>
              <w:t>DK: informacijska pismenost</w:t>
            </w:r>
          </w:p>
        </w:tc>
        <w:tc>
          <w:tcPr>
            <w:tcW w:w="2767" w:type="dxa"/>
          </w:tcPr>
          <w:p w14:paraId="62E0EA1F" w14:textId="77777777" w:rsidR="001E3015" w:rsidRDefault="004B7F72">
            <w:r>
              <w:lastRenderedPageBreak/>
              <w:t>Učni listi, slike, računalniški dokumenti, makete</w:t>
            </w:r>
          </w:p>
        </w:tc>
      </w:tr>
      <w:tr w:rsidR="001E3015" w14:paraId="08F72C5B" w14:textId="77777777">
        <w:tc>
          <w:tcPr>
            <w:tcW w:w="3053" w:type="dxa"/>
          </w:tcPr>
          <w:p w14:paraId="518532C0" w14:textId="77777777" w:rsidR="001E3015" w:rsidRDefault="004B7F72">
            <w:r>
              <w:t xml:space="preserve">Izvedemo anketo </w:t>
            </w:r>
          </w:p>
        </w:tc>
        <w:tc>
          <w:tcPr>
            <w:tcW w:w="2487" w:type="dxa"/>
          </w:tcPr>
          <w:p w14:paraId="7DF8D413" w14:textId="77777777" w:rsidR="001E3015" w:rsidRDefault="004B7F72">
            <w:r>
              <w:t>6. razred, 7. razred</w:t>
            </w:r>
          </w:p>
          <w:p w14:paraId="4DECE56C" w14:textId="77777777" w:rsidR="001E3015" w:rsidRDefault="004B7F72">
            <w:r>
              <w:t>MAT</w:t>
            </w:r>
          </w:p>
        </w:tc>
        <w:tc>
          <w:tcPr>
            <w:tcW w:w="2801" w:type="dxa"/>
          </w:tcPr>
          <w:p w14:paraId="142A3847" w14:textId="77777777" w:rsidR="001E3015" w:rsidRDefault="004B7F72">
            <w:r>
              <w:t xml:space="preserve">Marec </w:t>
            </w:r>
          </w:p>
        </w:tc>
        <w:tc>
          <w:tcPr>
            <w:tcW w:w="2886" w:type="dxa"/>
          </w:tcPr>
          <w:p w14:paraId="32BDBFAE" w14:textId="77777777" w:rsidR="001E3015" w:rsidRDefault="004B7F72">
            <w:r>
              <w:t>PV: Kritično mišljenje</w:t>
            </w:r>
          </w:p>
          <w:p w14:paraId="346F3F6B" w14:textId="77777777" w:rsidR="001E3015" w:rsidRDefault="004B7F72">
            <w:r>
              <w:t>DK: informacijska pismenost</w:t>
            </w:r>
          </w:p>
        </w:tc>
        <w:tc>
          <w:tcPr>
            <w:tcW w:w="2767" w:type="dxa"/>
          </w:tcPr>
          <w:p w14:paraId="2AE0B11B" w14:textId="77777777" w:rsidR="001E3015" w:rsidRDefault="004B7F72">
            <w:r>
              <w:t>Učni listi, slike, računalniški dokumenti</w:t>
            </w:r>
          </w:p>
        </w:tc>
      </w:tr>
      <w:tr w:rsidR="001E3015" w14:paraId="38051B96" w14:textId="77777777">
        <w:tc>
          <w:tcPr>
            <w:tcW w:w="3053" w:type="dxa"/>
          </w:tcPr>
          <w:p w14:paraId="0D6D66D8" w14:textId="77777777" w:rsidR="001E3015" w:rsidRDefault="004B7F72">
            <w:r>
              <w:t>Rešujemo besedilne naloge</w:t>
            </w:r>
          </w:p>
        </w:tc>
        <w:tc>
          <w:tcPr>
            <w:tcW w:w="2487" w:type="dxa"/>
          </w:tcPr>
          <w:p w14:paraId="390F2065" w14:textId="77777777" w:rsidR="001E3015" w:rsidRDefault="004B7F72">
            <w:r>
              <w:t>6. razred, 7. razred</w:t>
            </w:r>
          </w:p>
          <w:p w14:paraId="145A97D0" w14:textId="77777777" w:rsidR="001E3015" w:rsidRDefault="004B7F72">
            <w:r>
              <w:t>MAT</w:t>
            </w:r>
          </w:p>
        </w:tc>
        <w:tc>
          <w:tcPr>
            <w:tcW w:w="2801" w:type="dxa"/>
          </w:tcPr>
          <w:p w14:paraId="727EC739" w14:textId="77777777" w:rsidR="001E3015" w:rsidRDefault="004B7F72">
            <w:r>
              <w:t>April</w:t>
            </w:r>
          </w:p>
        </w:tc>
        <w:tc>
          <w:tcPr>
            <w:tcW w:w="2886" w:type="dxa"/>
          </w:tcPr>
          <w:p w14:paraId="04ADCC8C" w14:textId="77777777" w:rsidR="001E3015" w:rsidRDefault="004B7F72">
            <w:r>
              <w:t>PV: Kritično mišljenje</w:t>
            </w:r>
          </w:p>
          <w:p w14:paraId="1A8CCDA2" w14:textId="77777777" w:rsidR="001E3015" w:rsidRDefault="004B7F72">
            <w:r>
              <w:t>DK: informacijska pismenost</w:t>
            </w:r>
          </w:p>
        </w:tc>
        <w:tc>
          <w:tcPr>
            <w:tcW w:w="2767" w:type="dxa"/>
          </w:tcPr>
          <w:p w14:paraId="26B9913A" w14:textId="77777777" w:rsidR="001E3015" w:rsidRDefault="004B7F72">
            <w:r>
              <w:t>Učni listi, slike</w:t>
            </w:r>
          </w:p>
        </w:tc>
      </w:tr>
    </w:tbl>
    <w:p w14:paraId="37002834" w14:textId="77777777" w:rsidR="001E3015" w:rsidRDefault="001E3015"/>
    <w:p w14:paraId="1C131D26" w14:textId="77777777" w:rsidR="001E3015" w:rsidRDefault="001E3015">
      <w:bookmarkStart w:id="10" w:name="_2s8eyo1" w:colFirst="0" w:colLast="0"/>
      <w:bookmarkEnd w:id="10"/>
    </w:p>
    <w:p w14:paraId="2451EE82" w14:textId="77777777" w:rsidR="001E3015" w:rsidRDefault="001E3015"/>
    <w:p w14:paraId="7637B170" w14:textId="77777777" w:rsidR="001E3015" w:rsidRDefault="001E3015"/>
    <w:p w14:paraId="519F0914" w14:textId="77777777" w:rsidR="001E3015" w:rsidRDefault="001E3015"/>
    <w:p w14:paraId="5D2C139D" w14:textId="77777777" w:rsidR="001E3015" w:rsidRDefault="001E3015"/>
    <w:p w14:paraId="7EF95595" w14:textId="77777777" w:rsidR="001E3015" w:rsidRDefault="001E3015"/>
    <w:p w14:paraId="3E553661" w14:textId="77777777" w:rsidR="001E3015" w:rsidRDefault="001E3015"/>
    <w:p w14:paraId="66140DD0" w14:textId="77777777" w:rsidR="001E3015" w:rsidRDefault="001E3015"/>
    <w:p w14:paraId="2A62D7F4" w14:textId="77777777" w:rsidR="001E3015" w:rsidRDefault="001E3015"/>
    <w:p w14:paraId="2D037AFE" w14:textId="77777777" w:rsidR="001E3015" w:rsidRDefault="001E3015"/>
    <w:sectPr w:rsidR="001E3015">
      <w:headerReference w:type="default" r:id="rId9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28598" w14:textId="77777777" w:rsidR="00000000" w:rsidRDefault="004B7F72">
      <w:pPr>
        <w:spacing w:after="0" w:line="240" w:lineRule="auto"/>
      </w:pPr>
      <w:r>
        <w:separator/>
      </w:r>
    </w:p>
  </w:endnote>
  <w:endnote w:type="continuationSeparator" w:id="0">
    <w:p w14:paraId="022A3DA4" w14:textId="77777777" w:rsidR="00000000" w:rsidRDefault="004B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740C1" w14:textId="77777777" w:rsidR="00000000" w:rsidRDefault="004B7F72">
      <w:pPr>
        <w:spacing w:after="0" w:line="240" w:lineRule="auto"/>
      </w:pPr>
      <w:r>
        <w:separator/>
      </w:r>
    </w:p>
  </w:footnote>
  <w:footnote w:type="continuationSeparator" w:id="0">
    <w:p w14:paraId="1FD5DD67" w14:textId="77777777" w:rsidR="00000000" w:rsidRDefault="004B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182C" w14:textId="77777777" w:rsidR="001E3015" w:rsidRDefault="004B7F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DC26259" wp14:editId="7543A2FB">
          <wp:extent cx="1386840" cy="396240"/>
          <wp:effectExtent l="0" t="0" r="0" b="0"/>
          <wp:docPr id="3" name="image2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D06F4B" wp14:editId="5D4A70AD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2" name="image3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D19449" wp14:editId="02327C88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1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FC3AAE" w14:textId="77777777" w:rsidR="001E3015" w:rsidRDefault="001E3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15"/>
    <w:rsid w:val="001E3015"/>
    <w:rsid w:val="004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D22"/>
  <w15:docId w15:val="{B63A6145-253D-40B3-B7A0-E53F97E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E0B1BE86-EF11-40AC-A009-DBD270BB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83A5C-590D-4C05-BFAC-04C8B51E0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397C4-5929-4782-852C-0800790BAF13}">
  <ds:schemaRefs>
    <ds:schemaRef ds:uri="http://purl.org/dc/elements/1.1/"/>
    <ds:schemaRef ds:uri="d9c93529-c942-4382-b4fc-1deb373bddd2"/>
    <ds:schemaRef ds:uri="http://schemas.microsoft.com/office/infopath/2007/PartnerControls"/>
    <ds:schemaRef ds:uri="http://purl.org/dc/terms/"/>
    <ds:schemaRef ds:uri="2f862335-d62d-4f7f-a225-4b5ce82a369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Bernarda Moravec</dc:creator>
  <cp:lastModifiedBy>Bernarda Moravec</cp:lastModifiedBy>
  <cp:revision>2</cp:revision>
  <dcterms:created xsi:type="dcterms:W3CDTF">2020-03-11T09:14:00Z</dcterms:created>
  <dcterms:modified xsi:type="dcterms:W3CDTF">2020-03-11T09:14:00Z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