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3F" w:rsidRPr="0029793F" w:rsidRDefault="0029793F" w:rsidP="0029793F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Arial"/>
          <w:color w:val="555555"/>
          <w:kern w:val="36"/>
          <w:sz w:val="36"/>
          <w:szCs w:val="36"/>
          <w:lang w:eastAsia="sl-SI"/>
        </w:rPr>
      </w:pPr>
      <w:r w:rsidRPr="0029793F">
        <w:rPr>
          <w:rFonts w:ascii="Georgia" w:eastAsia="Times New Roman" w:hAnsi="Georgia" w:cs="Arial"/>
          <w:color w:val="555555"/>
          <w:kern w:val="36"/>
          <w:sz w:val="36"/>
          <w:szCs w:val="36"/>
          <w:lang w:eastAsia="sl-SI"/>
        </w:rPr>
        <w:t xml:space="preserve">Ustvarjalne učilnice in učitelji 21. stoletja </w:t>
      </w:r>
    </w:p>
    <w:p w:rsidR="0029793F" w:rsidRPr="0029793F" w:rsidRDefault="0029793F" w:rsidP="0029793F">
      <w:pPr>
        <w:shd w:val="clear" w:color="auto" w:fill="FFFFFF"/>
        <w:spacing w:before="60" w:after="0" w:line="240" w:lineRule="auto"/>
        <w:ind w:right="285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r>
        <w:rPr>
          <w:rFonts w:ascii="Arial" w:eastAsia="Times New Roman" w:hAnsi="Arial" w:cs="Arial"/>
          <w:noProof/>
          <w:color w:val="555555"/>
          <w:sz w:val="18"/>
          <w:szCs w:val="18"/>
          <w:lang w:eastAsia="sl-SI"/>
        </w:rPr>
        <w:drawing>
          <wp:inline distT="0" distB="0" distL="0" distR="0" wp14:anchorId="5D2FFF29" wp14:editId="155CB584">
            <wp:extent cx="6985" cy="6985"/>
            <wp:effectExtent l="0" t="0" r="0" b="0"/>
            <wp:docPr id="4" name="Slika 4" descr="Pozor, odpri v novem ok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or, odpri v novem okn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93F" w:rsidRPr="0029793F" w:rsidRDefault="0029793F" w:rsidP="0029793F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 xml:space="preserve">Vključitev digitalnih medijev in tehnologij v izobraževanje je prednostna naloga politike v vsej Evropi. Nacionalne in regionalne pobude pogosto slonijo na prepričanju, da morajo šole učencem zagotoviti spretnosti, ki jih potrebujejo, če želijo sodelovati v naši družbi znanja. Izkazalo pa se je, da za dobro načrtovano uporabo IKT v izobraževanju niso dovolj zgolj novi mediji in orodja. Potrebne so korenite pedagoške spremembe znotraj šolskega sistema in, ne navsezadnje, bolj oseben pristop do učenja. V luči sprememb šol in razvoja v smeri ustvarjalnih učilnic se </w:t>
      </w:r>
      <w:hyperlink r:id="rId6" w:tgtFrame="_blank" w:history="1">
        <w:r w:rsidRPr="0029793F">
          <w:rPr>
            <w:rFonts w:ascii="Arial" w:eastAsia="Times New Roman" w:hAnsi="Arial" w:cs="Arial"/>
            <w:color w:val="2187AD"/>
            <w:sz w:val="18"/>
            <w:szCs w:val="18"/>
            <w:lang w:eastAsia="sl-SI"/>
          </w:rPr>
          <w:t xml:space="preserve">30. številka </w:t>
        </w:r>
        <w:proofErr w:type="spellStart"/>
        <w:r w:rsidRPr="0029793F">
          <w:rPr>
            <w:rFonts w:ascii="Arial" w:eastAsia="Times New Roman" w:hAnsi="Arial" w:cs="Arial"/>
            <w:i/>
            <w:iCs/>
            <w:color w:val="2187AD"/>
            <w:sz w:val="18"/>
            <w:szCs w:val="18"/>
            <w:lang w:eastAsia="sl-SI"/>
          </w:rPr>
          <w:t>eLearning</w:t>
        </w:r>
        <w:proofErr w:type="spellEnd"/>
        <w:r w:rsidRPr="0029793F">
          <w:rPr>
            <w:rFonts w:ascii="Arial" w:eastAsia="Times New Roman" w:hAnsi="Arial" w:cs="Arial"/>
            <w:i/>
            <w:iCs/>
            <w:color w:val="2187AD"/>
            <w:sz w:val="18"/>
            <w:szCs w:val="18"/>
            <w:lang w:eastAsia="sl-SI"/>
          </w:rPr>
          <w:t xml:space="preserve"> </w:t>
        </w:r>
        <w:proofErr w:type="spellStart"/>
        <w:r w:rsidRPr="0029793F">
          <w:rPr>
            <w:rFonts w:ascii="Arial" w:eastAsia="Times New Roman" w:hAnsi="Arial" w:cs="Arial"/>
            <w:i/>
            <w:iCs/>
            <w:color w:val="2187AD"/>
            <w:sz w:val="18"/>
            <w:szCs w:val="18"/>
            <w:lang w:eastAsia="sl-SI"/>
          </w:rPr>
          <w:t>Papers</w:t>
        </w:r>
        <w:proofErr w:type="spellEnd"/>
      </w:hyperlink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 xml:space="preserve"> posveča raziskavi o novi vlogi učiteljev v kontekstih učenja 21. stoletja.</w:t>
      </w:r>
    </w:p>
    <w:p w:rsidR="0029793F" w:rsidRPr="0029793F" w:rsidRDefault="0029793F" w:rsidP="0029793F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 xml:space="preserve">V središču pozornosti te številke so nove raziskave in prakse v razredu, ki prikazujejo vpliv novih učnih tehnologij na strokovno okolje učiteljev. Izraz </w:t>
      </w:r>
      <w:r w:rsidRPr="0029793F">
        <w:rPr>
          <w:rFonts w:ascii="Arial" w:eastAsia="Times New Roman" w:hAnsi="Arial" w:cs="Arial"/>
          <w:i/>
          <w:iCs/>
          <w:color w:val="555555"/>
          <w:sz w:val="18"/>
          <w:szCs w:val="18"/>
          <w:lang w:eastAsia="sl-SI"/>
        </w:rPr>
        <w:t>učenci 21. stoletja</w:t>
      </w:r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 xml:space="preserve"> je v modi na področju raziskovanja v izobraževanju in v pričujoči izdaji </w:t>
      </w:r>
      <w:proofErr w:type="spellStart"/>
      <w:r w:rsidRPr="0029793F">
        <w:rPr>
          <w:rFonts w:ascii="Arial" w:eastAsia="Times New Roman" w:hAnsi="Arial" w:cs="Arial"/>
          <w:i/>
          <w:iCs/>
          <w:color w:val="555555"/>
          <w:sz w:val="18"/>
          <w:szCs w:val="18"/>
          <w:lang w:eastAsia="sl-SI"/>
        </w:rPr>
        <w:t>eLearning</w:t>
      </w:r>
      <w:proofErr w:type="spellEnd"/>
      <w:r w:rsidRPr="0029793F">
        <w:rPr>
          <w:rFonts w:ascii="Arial" w:eastAsia="Times New Roman" w:hAnsi="Arial" w:cs="Arial"/>
          <w:i/>
          <w:iCs/>
          <w:color w:val="555555"/>
          <w:sz w:val="18"/>
          <w:szCs w:val="18"/>
          <w:lang w:eastAsia="sl-SI"/>
        </w:rPr>
        <w:t xml:space="preserve"> </w:t>
      </w:r>
      <w:proofErr w:type="spellStart"/>
      <w:r w:rsidRPr="0029793F">
        <w:rPr>
          <w:rFonts w:ascii="Arial" w:eastAsia="Times New Roman" w:hAnsi="Arial" w:cs="Arial"/>
          <w:i/>
          <w:iCs/>
          <w:color w:val="555555"/>
          <w:sz w:val="18"/>
          <w:szCs w:val="18"/>
          <w:lang w:eastAsia="sl-SI"/>
        </w:rPr>
        <w:t>Papers</w:t>
      </w:r>
      <w:proofErr w:type="spellEnd"/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 xml:space="preserve"> so ta izraz aplicirali na učitelje. Poskušajo najti praktične primere in perspektivne vizije, ki proučujejo, kaj pomeni biti učitelj v današnji družbi znanja.</w:t>
      </w:r>
    </w:p>
    <w:p w:rsidR="0029793F" w:rsidRDefault="0029793F" w:rsidP="0029793F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  <w:r w:rsidRPr="0029793F">
        <w:rPr>
          <w:rFonts w:ascii="Arial" w:eastAsia="Times New Roman" w:hAnsi="Arial" w:cs="Arial"/>
          <w:color w:val="555555"/>
          <w:sz w:val="18"/>
          <w:szCs w:val="18"/>
          <w:lang w:eastAsia="sl-SI"/>
        </w:rPr>
        <w:t>Hitri tempo razvoja tehnologije predstavlja izziv za učitelje, saj morajo biti na tekočem z digitalnim načinom življenja svojih učencev, to pa pogosto ni enostavno. Pobude za pospeševanje IKT v izobraževanju mnogokrat obravnavajo uvajanje naprav in orodij v učilnicah, a pri tem premalo upoštevajo vprašanje kako to lahko vpliva na oziroma spreminja način, po katerem ljudje poučujejo in se učijo.</w:t>
      </w:r>
    </w:p>
    <w:p w:rsidR="0029793F" w:rsidRDefault="0029793F" w:rsidP="0029793F">
      <w:pPr>
        <w:pStyle w:val="Naslov1"/>
        <w:shd w:val="clear" w:color="auto" w:fill="FFFFFF"/>
        <w:spacing w:before="0" w:beforeAutospacing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OECD: Kaj naj se učenci učijo v 21. stoletju? </w:t>
      </w:r>
    </w:p>
    <w:p w:rsidR="0029793F" w:rsidRDefault="0029793F" w:rsidP="0029793F">
      <w:pPr>
        <w:pStyle w:val="buttonheading"/>
        <w:shd w:val="clear" w:color="auto" w:fill="FFFFFF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 wp14:anchorId="610A9EE7" wp14:editId="6F7EEEFE">
            <wp:extent cx="6985" cy="6985"/>
            <wp:effectExtent l="0" t="0" r="0" b="0"/>
            <wp:docPr id="8" name="Slika 8" descr="Pozor, odpri v novem ok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zor, odpri v novem okn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18"/>
          <w:szCs w:val="18"/>
        </w:rPr>
        <w:t xml:space="preserve">Postalo je jasno, da je spretnost poučevanja potrebuje odgovor na "Kaj naj se učenci učijo v 21. stoletju?" z globoko in široko osnovo. Učitelji morajo imeti čas in se znati prilagoditi za razvoj znanja, spretnosti in celo svojega značaja, hkrati pa morajo upoštevati višjo razsežnost, ki vključuje učenje o tem, kako se učiti, interdisciplinarnost in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personalizacijo</w:t>
      </w:r>
      <w:proofErr w:type="spellEnd"/>
      <w:r>
        <w:rPr>
          <w:rFonts w:ascii="Arial" w:hAnsi="Arial" w:cs="Arial"/>
          <w:color w:val="555555"/>
          <w:sz w:val="18"/>
          <w:szCs w:val="18"/>
        </w:rPr>
        <w:t>. Prilagajanje potrebam 21. stoletja pomeni osvežitev vsake dimenzije in njihovih interakcij.</w:t>
      </w:r>
    </w:p>
    <w:p w:rsidR="0029793F" w:rsidRDefault="0029793F" w:rsidP="0029793F">
      <w:pPr>
        <w:pStyle w:val="Navadensplet"/>
        <w:shd w:val="clear" w:color="auto" w:fill="FFFFFF"/>
        <w:rPr>
          <w:rFonts w:ascii="Arial" w:hAnsi="Arial" w:cs="Arial"/>
          <w:color w:val="555555"/>
          <w:sz w:val="18"/>
          <w:szCs w:val="18"/>
        </w:rPr>
      </w:pPr>
      <w:bookmarkStart w:id="0" w:name="_GoBack"/>
      <w:bookmarkEnd w:id="0"/>
    </w:p>
    <w:p w:rsidR="0029793F" w:rsidRPr="0029793F" w:rsidRDefault="0029793F" w:rsidP="0029793F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555555"/>
          <w:sz w:val="18"/>
          <w:szCs w:val="18"/>
          <w:lang w:eastAsia="sl-SI"/>
        </w:rPr>
      </w:pPr>
    </w:p>
    <w:p w:rsidR="009D2F35" w:rsidRDefault="009D2F35"/>
    <w:sectPr w:rsidR="009D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3F"/>
    <w:rsid w:val="0029793F"/>
    <w:rsid w:val="009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9793F"/>
    <w:pPr>
      <w:spacing w:before="100" w:beforeAutospacing="1" w:after="0" w:line="240" w:lineRule="auto"/>
      <w:outlineLvl w:val="0"/>
    </w:pPr>
    <w:rPr>
      <w:rFonts w:ascii="Georgia" w:eastAsia="Times New Roman" w:hAnsi="Georgia" w:cs="Times New Roman"/>
      <w:color w:val="555555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793F"/>
    <w:rPr>
      <w:rFonts w:ascii="Georgia" w:eastAsia="Times New Roman" w:hAnsi="Georgia" w:cs="Times New Roman"/>
      <w:color w:val="555555"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9793F"/>
    <w:rPr>
      <w:strike w:val="0"/>
      <w:dstrike w:val="0"/>
      <w:color w:val="2187AD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29793F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29793F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teminfo">
    <w:name w:val="iteminfo"/>
    <w:basedOn w:val="Navaden"/>
    <w:rsid w:val="0029793F"/>
    <w:pPr>
      <w:spacing w:after="150" w:line="240" w:lineRule="auto"/>
    </w:pPr>
    <w:rPr>
      <w:rFonts w:ascii="Arial" w:eastAsia="Times New Roman" w:hAnsi="Arial" w:cs="Arial"/>
      <w:color w:val="999999"/>
      <w:sz w:val="24"/>
      <w:szCs w:val="24"/>
      <w:lang w:eastAsia="sl-SI"/>
    </w:rPr>
  </w:style>
  <w:style w:type="paragraph" w:customStyle="1" w:styleId="buttonheading">
    <w:name w:val="buttonheading"/>
    <w:basedOn w:val="Navaden"/>
    <w:rsid w:val="0029793F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reatedate">
    <w:name w:val="createdate"/>
    <w:basedOn w:val="Privzetapisavaodstavka"/>
    <w:rsid w:val="002979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9793F"/>
    <w:pPr>
      <w:spacing w:before="100" w:beforeAutospacing="1" w:after="0" w:line="240" w:lineRule="auto"/>
      <w:outlineLvl w:val="0"/>
    </w:pPr>
    <w:rPr>
      <w:rFonts w:ascii="Georgia" w:eastAsia="Times New Roman" w:hAnsi="Georgia" w:cs="Times New Roman"/>
      <w:color w:val="555555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793F"/>
    <w:rPr>
      <w:rFonts w:ascii="Georgia" w:eastAsia="Times New Roman" w:hAnsi="Georgia" w:cs="Times New Roman"/>
      <w:color w:val="555555"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9793F"/>
    <w:rPr>
      <w:strike w:val="0"/>
      <w:dstrike w:val="0"/>
      <w:color w:val="2187AD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29793F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29793F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teminfo">
    <w:name w:val="iteminfo"/>
    <w:basedOn w:val="Navaden"/>
    <w:rsid w:val="0029793F"/>
    <w:pPr>
      <w:spacing w:after="150" w:line="240" w:lineRule="auto"/>
    </w:pPr>
    <w:rPr>
      <w:rFonts w:ascii="Arial" w:eastAsia="Times New Roman" w:hAnsi="Arial" w:cs="Arial"/>
      <w:color w:val="999999"/>
      <w:sz w:val="24"/>
      <w:szCs w:val="24"/>
      <w:lang w:eastAsia="sl-SI"/>
    </w:rPr>
  </w:style>
  <w:style w:type="paragraph" w:customStyle="1" w:styleId="buttonheading">
    <w:name w:val="buttonheading"/>
    <w:basedOn w:val="Navaden"/>
    <w:rsid w:val="0029793F"/>
    <w:pPr>
      <w:spacing w:before="60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reatedate">
    <w:name w:val="createdate"/>
    <w:basedOn w:val="Privzetapisavaodstavka"/>
    <w:rsid w:val="0029793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4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2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48" w:space="0" w:color="FFFFFF"/>
                                          </w:divBdr>
                                          <w:divsChild>
                                            <w:div w:id="1541019350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CCCCCC"/>
                                                <w:left w:val="single" w:sz="24" w:space="0" w:color="FFFFFF"/>
                                                <w:bottom w:val="single" w:sz="24" w:space="15" w:color="CCCCCC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204806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07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14786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2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556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10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2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5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78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FFFFFF"/>
                                            <w:left w:val="single" w:sz="24" w:space="0" w:color="FFFFFF"/>
                                            <w:bottom w:val="single" w:sz="24" w:space="0" w:color="FFFFFF"/>
                                            <w:right w:val="single" w:sz="48" w:space="0" w:color="FFFFFF"/>
                                          </w:divBdr>
                                          <w:divsChild>
                                            <w:div w:id="413354221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CCCCCC"/>
                                                <w:left w:val="single" w:sz="24" w:space="0" w:color="FFFFFF"/>
                                                <w:bottom w:val="single" w:sz="24" w:space="15" w:color="CCCCCC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71843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0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336497">
                                                          <w:marLeft w:val="135"/>
                                                          <w:marRight w:val="1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14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3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755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arningpapers.eu/sl/paper/ustvarjalne-u-ilnice-u-itelji-21-stoletj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2012-11-15T08:10:00Z</dcterms:created>
  <dcterms:modified xsi:type="dcterms:W3CDTF">2012-11-15T08:17:00Z</dcterms:modified>
</cp:coreProperties>
</file>