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jc w:val="center"/>
        <w:tblCellSpacing w:w="0" w:type="dxa"/>
        <w:shd w:val="clear" w:color="auto" w:fill="C19DC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3141"/>
        <w:gridCol w:w="3141"/>
        <w:gridCol w:w="1382"/>
      </w:tblGrid>
      <w:tr w:rsidR="00684A26" w:rsidTr="00684A26">
        <w:trPr>
          <w:tblCellSpacing w:w="0" w:type="dxa"/>
          <w:jc w:val="center"/>
        </w:trPr>
        <w:tc>
          <w:tcPr>
            <w:tcW w:w="1320" w:type="dxa"/>
            <w:shd w:val="clear" w:color="auto" w:fill="C19DC2"/>
            <w:hideMark/>
          </w:tcPr>
          <w:p w:rsidR="00684A26" w:rsidRDefault="00684A26" w:rsidP="00684A26">
            <w:pPr>
              <w:jc w:val="both"/>
              <w:rPr>
                <w:rFonts w:eastAsia="Times New Roman"/>
              </w:rPr>
            </w:pPr>
          </w:p>
        </w:tc>
        <w:tc>
          <w:tcPr>
            <w:tcW w:w="3000" w:type="dxa"/>
            <w:shd w:val="clear" w:color="auto" w:fill="C19DC2"/>
            <w:hideMark/>
          </w:tcPr>
          <w:tbl>
            <w:tblPr>
              <w:tblW w:w="2000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000"/>
            </w:tblGrid>
            <w:tr w:rsidR="00684A26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4A26" w:rsidRDefault="00684A26" w:rsidP="00684A26">
                  <w:pPr>
                    <w:pStyle w:val="Navadensplet"/>
                    <w:jc w:val="both"/>
                  </w:pPr>
                </w:p>
                <w:p w:rsidR="00684A26" w:rsidRDefault="00684A26" w:rsidP="00684A26">
                  <w:pPr>
                    <w:pStyle w:val="Navadensplet"/>
                    <w:jc w:val="both"/>
                  </w:pPr>
                </w:p>
              </w:tc>
            </w:tr>
          </w:tbl>
          <w:p w:rsidR="00684A26" w:rsidRDefault="00684A26" w:rsidP="00684A2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C19DC2"/>
            <w:hideMark/>
          </w:tcPr>
          <w:tbl>
            <w:tblPr>
              <w:tblW w:w="2390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390"/>
            </w:tblGrid>
            <w:tr w:rsidR="00684A26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84A26" w:rsidRDefault="00684A26" w:rsidP="00684A26">
                  <w:pPr>
                    <w:pStyle w:val="Navadensplet"/>
                    <w:jc w:val="both"/>
                  </w:pPr>
                  <w:bookmarkStart w:id="0" w:name="_GoBack"/>
                  <w:bookmarkEnd w:id="0"/>
                  <w:r>
                    <w:rPr>
                      <w:rStyle w:val="1vsebina"/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Kratek opis</w:t>
                  </w:r>
                  <w:r>
                    <w:rPr>
                      <w:rStyle w:val="1vsebina"/>
                      <w:rFonts w:ascii="Tahoma" w:hAnsi="Tahoma" w:cs="Tahoma"/>
                      <w:color w:val="000000"/>
                      <w:sz w:val="18"/>
                      <w:szCs w:val="18"/>
                    </w:rPr>
                    <w:t>:</w:t>
                  </w:r>
                </w:p>
                <w:p w:rsidR="00684A26" w:rsidRDefault="00684A26" w:rsidP="00684A26">
                  <w:pPr>
                    <w:pStyle w:val="Navadensplet"/>
                    <w:jc w:val="both"/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Enake [izobraževalne] možnosti tradicionalno povezujemo z vrsto različnih idej, ki so v sodobni pluralni družbi – bolj ali manj –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nevprašljive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, in sicer [i] da imajo vsi posamezniki omogočen dostop do ustrezne izobrazbe oz. kvalifikacij; [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ii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] da moralno arbitrarni dejavniki kot npr. spol, rasa, veroizpoved, etnična pripadnost, socialno-ekonomski položaj nimajo vpliva na proces v okviru katerega posamezniki konkurirajo za selektivne družbene položaje; ter [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iii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] da je določen položaj dodeljen najustreznejšemu oz. najboljšemu kandidatu. Kot take so enake [izobraževalne] možnosti osnovni mehanizem zagotavljanja pravičnosti v okviru procesov distribucije selektivnih družbenih položajev, saj le-ta temelji na podlagi posameznikovih zaslug in ne na katerem od moralno arbitrarnih dejavnikov ali na podedovanih privilegijih oz. prednostih.</w:t>
                  </w:r>
                </w:p>
                <w:p w:rsidR="00684A26" w:rsidRDefault="00684A26" w:rsidP="00684A26">
                  <w:pPr>
                    <w:pStyle w:val="Navadensplet"/>
                    <w:jc w:val="both"/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Kljub temu so enake možnosti vse prej kot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nevprašljive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 in neproblematične, saj jih tudi John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Rawls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 označi za ‘težavno in ne povsem jasno idejo’. To problematiko dodatno zaplete tudi dejstvo, da je ideal enakih možnosti ter s tem povezana ideja ‘odprtosti vseh družbenih položajev talentom’ kot ena od osrednjih idej iz kataloga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emancipatoričnih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 idej sprejemljiva tudi za tiste, ki v ospredje postavljajo individualno odgovornost posameznika ter minimalno vlogo države in njenega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inštitucionalnega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 okvira. Pričujoče srečanje bo posebno pozornost namenilo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problematizaciji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 različnih pojmovanj enakih možnosti; predstavitvi posameznih </w:t>
                  </w: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lastRenderedPageBreak/>
                    <w:t xml:space="preserve">razsežnosti enakih možnosti, npr. načelo nediskriminacije, načelo izravnave igralnega polja, pojmovanje merit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okracije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 kot tudi različnim kritikam enakih možnosti, saj družbena neenakost in ideal enakih možnosti nista medsebojno izključujoča.</w:t>
                  </w:r>
                </w:p>
              </w:tc>
            </w:tr>
          </w:tbl>
          <w:p w:rsidR="00684A26" w:rsidRDefault="00684A26" w:rsidP="00684A2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C19DC2"/>
            <w:hideMark/>
          </w:tcPr>
          <w:p w:rsidR="00684A26" w:rsidRDefault="00684A26" w:rsidP="00684A26">
            <w:pPr>
              <w:jc w:val="both"/>
              <w:rPr>
                <w:rFonts w:eastAsia="Times New Roman"/>
              </w:rPr>
            </w:pPr>
          </w:p>
        </w:tc>
      </w:tr>
    </w:tbl>
    <w:p w:rsidR="00E47FEA" w:rsidRDefault="00E47FEA" w:rsidP="00684A26">
      <w:pPr>
        <w:jc w:val="both"/>
      </w:pPr>
    </w:p>
    <w:sectPr w:rsidR="00E47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26"/>
    <w:rsid w:val="00684A26"/>
    <w:rsid w:val="00E4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4A2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84A26"/>
    <w:pPr>
      <w:spacing w:before="100" w:beforeAutospacing="1" w:after="100" w:afterAutospacing="1"/>
    </w:pPr>
  </w:style>
  <w:style w:type="character" w:customStyle="1" w:styleId="1vsebina">
    <w:name w:val="1_vsebina"/>
    <w:basedOn w:val="Privzetapisavaodstavka"/>
    <w:rsid w:val="00684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4A2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84A26"/>
    <w:pPr>
      <w:spacing w:before="100" w:beforeAutospacing="1" w:after="100" w:afterAutospacing="1"/>
    </w:pPr>
  </w:style>
  <w:style w:type="character" w:customStyle="1" w:styleId="1vsebina">
    <w:name w:val="1_vsebina"/>
    <w:basedOn w:val="Privzetapisavaodstavka"/>
    <w:rsid w:val="0068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2013-10-03T07:18:00Z</dcterms:created>
  <dcterms:modified xsi:type="dcterms:W3CDTF">2013-10-03T07:25:00Z</dcterms:modified>
</cp:coreProperties>
</file>