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DC" w:rsidRDefault="002A6DDC" w:rsidP="00B61724">
      <w:pPr>
        <w:autoSpaceDE w:val="0"/>
        <w:autoSpaceDN w:val="0"/>
        <w:adjustRightInd w:val="0"/>
        <w:spacing w:after="0" w:line="240" w:lineRule="auto"/>
        <w:rPr>
          <w:rFonts w:eastAsia="NimbusRomNo9LEE-Regu" w:cs="NimbusRomNo9LEE-Regu"/>
        </w:rPr>
      </w:pPr>
      <w:r>
        <w:rPr>
          <w:rFonts w:eastAsia="NimbusRomNo9LEE-Regu" w:cs="NimbusRomNo9LEE-Regu"/>
        </w:rPr>
        <w:t>Razmišljanje o ABC prostovoljstva  v šolah / priročniku za mentorje in koordinatorje prostovoljcev v šolah</w:t>
      </w:r>
    </w:p>
    <w:p w:rsidR="002A6DDC" w:rsidRDefault="002A6DDC" w:rsidP="00B61724">
      <w:pPr>
        <w:autoSpaceDE w:val="0"/>
        <w:autoSpaceDN w:val="0"/>
        <w:adjustRightInd w:val="0"/>
        <w:spacing w:after="0" w:line="240" w:lineRule="auto"/>
        <w:rPr>
          <w:rFonts w:eastAsia="NimbusRomNo9LEE-Regu" w:cs="NimbusRomNo9LEE-Regu"/>
        </w:rPr>
      </w:pPr>
    </w:p>
    <w:p w:rsidR="009D497A" w:rsidRDefault="00B61724" w:rsidP="00B61724">
      <w:pPr>
        <w:autoSpaceDE w:val="0"/>
        <w:autoSpaceDN w:val="0"/>
        <w:adjustRightInd w:val="0"/>
        <w:spacing w:after="0" w:line="240" w:lineRule="auto"/>
        <w:rPr>
          <w:rFonts w:eastAsia="NimbusRomNo9LEE-Regu" w:cs="NimbusRomNo9LEE-Regu"/>
        </w:rPr>
      </w:pPr>
      <w:r w:rsidRPr="00167E24">
        <w:rPr>
          <w:rFonts w:eastAsia="NimbusRomNo9LEE-Regu" w:cs="NimbusRomNo9LEE-Regu"/>
        </w:rPr>
        <w:t>Priročnik</w:t>
      </w:r>
      <w:r w:rsidR="009D497A" w:rsidRPr="00167E24">
        <w:rPr>
          <w:rFonts w:eastAsia="NimbusRomNo9LEE-Regu" w:cs="NimbusRomNo9LEE-Regu"/>
        </w:rPr>
        <w:t xml:space="preserve"> za mentorje in koordinatorje prostovoljcev v šolah je že po naslovu nekoliko poseben.  Pomen naslova</w:t>
      </w:r>
      <w:r w:rsidRPr="00167E24">
        <w:rPr>
          <w:rFonts w:eastAsia="NimbusRomNo9LEE-Regu" w:cs="NimbusRomNo9LEE-Regu"/>
        </w:rPr>
        <w:t xml:space="preserve"> </w:t>
      </w:r>
      <w:r w:rsidR="009D497A" w:rsidRPr="00167E24">
        <w:rPr>
          <w:rFonts w:eastAsia="NimbusRomNo9LEE-ReguItal" w:cs="NimbusRomNo9LEE-ReguItal"/>
          <w:i/>
          <w:iCs/>
        </w:rPr>
        <w:t>ABC prostovoljstva v šolah</w:t>
      </w:r>
      <w:r w:rsidRPr="00167E24">
        <w:rPr>
          <w:rFonts w:eastAsia="NimbusRomNo9LEE-Regu" w:cs="NimbusRomNo9LEE-Regu"/>
        </w:rPr>
        <w:t xml:space="preserve"> takoj razumemo.</w:t>
      </w:r>
    </w:p>
    <w:p w:rsidR="00F2772B" w:rsidRDefault="00F2772B" w:rsidP="00F2772B">
      <w:pPr>
        <w:pStyle w:val="Navadensplet"/>
        <w:rPr>
          <w:rFonts w:asciiTheme="minorHAnsi" w:hAnsiTheme="minorHAnsi"/>
          <w:sz w:val="22"/>
          <w:szCs w:val="22"/>
        </w:rPr>
      </w:pPr>
      <w:r>
        <w:rPr>
          <w:rFonts w:asciiTheme="minorHAnsi" w:hAnsiTheme="minorHAnsi"/>
          <w:sz w:val="22"/>
          <w:szCs w:val="22"/>
        </w:rPr>
        <w:t xml:space="preserve">Tako kot se učimo abecede nas priročnik nauči kaj prostovoljstvo je in vodi kako se ga na šoli lotiti. </w:t>
      </w:r>
    </w:p>
    <w:p w:rsidR="00AA211C" w:rsidRDefault="00AA211C" w:rsidP="00AA211C">
      <w:pPr>
        <w:rPr>
          <w:rFonts w:eastAsia="TimesNewRomanPSMT" w:cs="Arial"/>
          <w:color w:val="000000"/>
        </w:rPr>
      </w:pPr>
      <w:r w:rsidRPr="00167E24">
        <w:t>Vsebina priročnika je  aktualna in lahko dodatno prispeva</w:t>
      </w:r>
      <w:r>
        <w:t xml:space="preserve"> tudi</w:t>
      </w:r>
      <w:r w:rsidRPr="00167E24">
        <w:t xml:space="preserve"> pri iskanju odgovorov na mnoga </w:t>
      </w:r>
    </w:p>
    <w:p w:rsidR="00AA211C" w:rsidRDefault="00AA211C" w:rsidP="00AA211C">
      <w:r w:rsidRPr="00167E24">
        <w:t>vprašanja, ki so povezana s socialno in čustveno dimenzijo učenja .</w:t>
      </w:r>
    </w:p>
    <w:p w:rsidR="00767D6E" w:rsidRPr="00AA211C" w:rsidRDefault="00AA211C" w:rsidP="00767D6E">
      <w:pPr>
        <w:rPr>
          <w:rFonts w:eastAsia="TimesNewRomanPSMT" w:cs="Arial"/>
          <w:color w:val="000000"/>
        </w:rPr>
      </w:pPr>
      <w:r>
        <w:rPr>
          <w:rFonts w:cs="Arial"/>
        </w:rPr>
        <w:t xml:space="preserve">Odkritja raziskav na polju socialne </w:t>
      </w:r>
      <w:proofErr w:type="spellStart"/>
      <w:r>
        <w:rPr>
          <w:rFonts w:cs="Arial"/>
        </w:rPr>
        <w:t>nevroznanosti</w:t>
      </w:r>
      <w:proofErr w:type="spellEnd"/>
      <w:r>
        <w:rPr>
          <w:rFonts w:cs="Arial"/>
        </w:rPr>
        <w:t xml:space="preserve"> kažejo, da bodo morale šole veliko več pozornosti posvečati socialni rasti učencev in se osredotočati tudi na</w:t>
      </w:r>
      <w:r>
        <w:rPr>
          <w:rFonts w:eastAsia="TimesNewRomanPSMT" w:cs="Arial"/>
          <w:color w:val="000000"/>
        </w:rPr>
        <w:t xml:space="preserve"> oblikovanje pedagoške prakse, ki to omogoča. </w:t>
      </w:r>
      <w:r w:rsidR="00767D6E" w:rsidRPr="00167E24">
        <w:t>Je prvi priročnik pri nas, namenjen prostovoljstvu v šolah in drugih zavodih v vzgoji in izobraževanju.</w:t>
      </w:r>
    </w:p>
    <w:p w:rsidR="00830652" w:rsidRPr="00830652" w:rsidRDefault="00830652" w:rsidP="00830652">
      <w:pPr>
        <w:pStyle w:val="Navadensplet"/>
        <w:spacing w:before="0" w:beforeAutospacing="0" w:after="0" w:afterAutospacing="0"/>
        <w:rPr>
          <w:rFonts w:asciiTheme="minorHAnsi" w:eastAsia="TimesNewRomanPSMT" w:hAnsiTheme="minorHAnsi" w:cs="Arial"/>
          <w:color w:val="000000"/>
          <w:sz w:val="22"/>
          <w:szCs w:val="22"/>
        </w:rPr>
      </w:pPr>
      <w:r>
        <w:rPr>
          <w:rFonts w:asciiTheme="minorHAnsi" w:eastAsia="TimesNewRomanPSMT" w:hAnsiTheme="minorHAnsi" w:cs="Arial"/>
          <w:color w:val="000000"/>
          <w:sz w:val="22"/>
          <w:szCs w:val="22"/>
        </w:rPr>
        <w:t xml:space="preserve">Razvijanje prostovoljstva presega samo kognitivno učenje in vključuje družbeni in čustveni razvoj vseh, udeleženih v učnem in poučevalnem procesu. </w:t>
      </w:r>
      <w:r w:rsidRPr="00830652">
        <w:rPr>
          <w:rFonts w:asciiTheme="minorHAnsi" w:eastAsia="TimesNewRomanPSMT" w:hAnsiTheme="minorHAnsi" w:cs="Arial"/>
          <w:color w:val="000000"/>
          <w:sz w:val="22"/>
          <w:szCs w:val="22"/>
        </w:rPr>
        <w:t>Dinamika in kompleksnost današnjega časa terjata ponovne</w:t>
      </w:r>
      <w:r>
        <w:rPr>
          <w:rFonts w:asciiTheme="minorHAnsi" w:eastAsia="TimesNewRomanPSMT" w:hAnsiTheme="minorHAnsi" w:cs="Arial"/>
          <w:color w:val="000000"/>
          <w:sz w:val="22"/>
          <w:szCs w:val="22"/>
        </w:rPr>
        <w:t xml:space="preserve"> </w:t>
      </w:r>
      <w:r w:rsidRPr="00830652">
        <w:rPr>
          <w:rFonts w:asciiTheme="minorHAnsi" w:eastAsia="TimesNewRomanPSMT" w:hAnsiTheme="minorHAnsi" w:cs="Arial"/>
          <w:color w:val="000000"/>
          <w:sz w:val="22"/>
          <w:szCs w:val="22"/>
        </w:rPr>
        <w:t>premisleke o temeljnih kategorijah našega bivanja</w:t>
      </w:r>
      <w:r>
        <w:rPr>
          <w:rFonts w:eastAsia="TimesNewRomanPSMT" w:cs="Arial"/>
          <w:color w:val="000000"/>
        </w:rPr>
        <w:t xml:space="preserve">. </w:t>
      </w:r>
      <w:r w:rsidRPr="00830652">
        <w:rPr>
          <w:rFonts w:asciiTheme="minorHAnsi" w:eastAsia="TimesNewRomanPSMT" w:hAnsiTheme="minorHAnsi" w:cs="Arial"/>
          <w:color w:val="000000"/>
          <w:sz w:val="22"/>
          <w:szCs w:val="22"/>
        </w:rPr>
        <w:t>Soočeni smo s</w:t>
      </w:r>
      <w:r>
        <w:rPr>
          <w:rFonts w:asciiTheme="minorHAnsi" w:eastAsia="TimesNewRomanPSMT" w:hAnsiTheme="minorHAnsi" w:cs="Arial"/>
          <w:color w:val="000000"/>
          <w:sz w:val="22"/>
          <w:szCs w:val="22"/>
        </w:rPr>
        <w:t xml:space="preserve"> številnimi izzivi, ki temeljito spreminjajo način življenja in dela. </w:t>
      </w:r>
      <w:r w:rsidRPr="00830652">
        <w:rPr>
          <w:rFonts w:asciiTheme="minorHAnsi" w:eastAsia="TimesNewRomanPSMT" w:hAnsiTheme="minorHAnsi" w:cs="Arial"/>
          <w:color w:val="000000"/>
          <w:sz w:val="22"/>
          <w:szCs w:val="22"/>
        </w:rPr>
        <w:t>Spreminja se pogled na konstitutivne dimenzije posameznika,družbe, na razumevanje naših identitet, prostora in časa.</w:t>
      </w:r>
    </w:p>
    <w:p w:rsidR="00830652" w:rsidRDefault="00830652" w:rsidP="00830652">
      <w:pPr>
        <w:pStyle w:val="Navadensplet"/>
        <w:spacing w:before="0" w:beforeAutospacing="0" w:after="0" w:afterAutospacing="0"/>
        <w:rPr>
          <w:rFonts w:asciiTheme="minorHAnsi" w:eastAsia="TimesNewRomanPSMT" w:hAnsiTheme="minorHAnsi" w:cs="Arial"/>
          <w:color w:val="000000"/>
          <w:sz w:val="22"/>
          <w:szCs w:val="22"/>
        </w:rPr>
      </w:pPr>
      <w:r>
        <w:rPr>
          <w:rFonts w:asciiTheme="minorHAnsi" w:eastAsia="TimesNewRomanPSMT" w:hAnsiTheme="minorHAnsi" w:cs="Arial"/>
          <w:color w:val="000000"/>
          <w:sz w:val="22"/>
          <w:szCs w:val="22"/>
        </w:rPr>
        <w:t>Danes postaja čedalje bolj razumljivo, kako velikanskega je pomena je pravilna, pravočasna in dobra vzgoja.</w:t>
      </w:r>
    </w:p>
    <w:p w:rsidR="00830652" w:rsidRDefault="00830652" w:rsidP="00830652">
      <w:pPr>
        <w:autoSpaceDE w:val="0"/>
        <w:autoSpaceDN w:val="0"/>
        <w:adjustRightInd w:val="0"/>
        <w:spacing w:after="0" w:line="240" w:lineRule="auto"/>
        <w:rPr>
          <w:rFonts w:eastAsia="TimesNewRomanPSMT" w:cs="Arial"/>
          <w:color w:val="000000"/>
        </w:rPr>
      </w:pPr>
      <w:r>
        <w:rPr>
          <w:rFonts w:eastAsia="TimesNewRomanPSMT" w:cs="Arial"/>
          <w:color w:val="000000"/>
        </w:rPr>
        <w:t>Naloga je kompleksna in zahtevna. Vključuje tako vedenje (znanje) kot delovanje. Prav zaradi</w:t>
      </w:r>
    </w:p>
    <w:p w:rsidR="00830652" w:rsidRDefault="00830652" w:rsidP="00830652">
      <w:pPr>
        <w:autoSpaceDE w:val="0"/>
        <w:autoSpaceDN w:val="0"/>
        <w:adjustRightInd w:val="0"/>
        <w:spacing w:after="0" w:line="240" w:lineRule="auto"/>
        <w:rPr>
          <w:rFonts w:eastAsia="TimesNewRomanPSMT" w:cs="Arial"/>
          <w:color w:val="000000"/>
        </w:rPr>
      </w:pPr>
      <w:r>
        <w:rPr>
          <w:rFonts w:eastAsia="TimesNewRomanPSMT" w:cs="Arial"/>
          <w:color w:val="000000"/>
        </w:rPr>
        <w:t>zahtevnosti te naloge ni nikoli dovolj spraševanj, kako lahko izobraževanje</w:t>
      </w:r>
    </w:p>
    <w:p w:rsidR="00830652" w:rsidRPr="00830652" w:rsidRDefault="00830652" w:rsidP="00830652">
      <w:pPr>
        <w:autoSpaceDE w:val="0"/>
        <w:autoSpaceDN w:val="0"/>
        <w:adjustRightInd w:val="0"/>
        <w:spacing w:after="0" w:line="240" w:lineRule="auto"/>
        <w:rPr>
          <w:rFonts w:eastAsia="TimesNewRomanPSMT" w:cs="Arial"/>
          <w:color w:val="000000"/>
        </w:rPr>
      </w:pPr>
      <w:r>
        <w:rPr>
          <w:rFonts w:eastAsia="TimesNewRomanPSMT" w:cs="Arial"/>
          <w:color w:val="000000"/>
        </w:rPr>
        <w:t>prispeva k oblikovanju te vrline. Priročnik ponuja številne odgovore v zvezi s tem.</w:t>
      </w:r>
      <w:r>
        <w:rPr>
          <w:rFonts w:eastAsia="NimbusRomNo9LEE-Regu" w:cs="NimbusRomNo9LEE-Regu"/>
        </w:rPr>
        <w:t xml:space="preserve">  Je dragocen, ker je nastal</w:t>
      </w:r>
      <w:r w:rsidRPr="00767D6E">
        <w:rPr>
          <w:rFonts w:eastAsia="NimbusRomNo9LEE-Regu" w:cs="NimbusRomNo9LEE-Regu"/>
        </w:rPr>
        <w:t xml:space="preserve"> v slovenskem okolju in zrcali dogajanje v naši kulturi,</w:t>
      </w:r>
      <w:r>
        <w:rPr>
          <w:rFonts w:eastAsia="TimesNewRomanPSMT" w:cs="Arial"/>
          <w:color w:val="000000"/>
        </w:rPr>
        <w:t xml:space="preserve"> </w:t>
      </w:r>
      <w:r w:rsidRPr="00767D6E">
        <w:rPr>
          <w:rFonts w:eastAsia="NimbusRomNo9LEE-Regu" w:cs="NimbusRomNo9LEE-Regu"/>
        </w:rPr>
        <w:t>česar ne more storiti nobena prevedena literatura, vsaj ne enako specifično.</w:t>
      </w:r>
    </w:p>
    <w:p w:rsidR="00AA211C" w:rsidRPr="00494BBF" w:rsidRDefault="00AA211C" w:rsidP="00AA211C">
      <w:pPr>
        <w:rPr>
          <w:rFonts w:eastAsia="TimesNewRomanPSMT" w:cs="Arial"/>
          <w:color w:val="000000"/>
        </w:rPr>
      </w:pPr>
      <w:r>
        <w:rPr>
          <w:rFonts w:eastAsia="NimbusRomNo9LEE-Regu" w:cs="NimbusRomNo9LEE-Regu"/>
        </w:rPr>
        <w:t xml:space="preserve">Učitelji in mentorji </w:t>
      </w:r>
      <w:r w:rsidRPr="00767D6E">
        <w:rPr>
          <w:rFonts w:eastAsia="NimbusRomNo9LEE-Regu" w:cs="NimbusRomNo9LEE-Regu"/>
        </w:rPr>
        <w:t xml:space="preserve"> bodo v priročniku našli odgovore na vprašanja, kako ravnati</w:t>
      </w:r>
      <w:r>
        <w:rPr>
          <w:rFonts w:eastAsia="TimesNewRomanPSMT" w:cs="Arial"/>
          <w:color w:val="000000"/>
        </w:rPr>
        <w:t xml:space="preserve"> </w:t>
      </w:r>
      <w:r w:rsidRPr="00767D6E">
        <w:rPr>
          <w:rFonts w:eastAsia="NimbusRomNo9LEE-Regu" w:cs="NimbusRomNo9LEE-Regu"/>
        </w:rPr>
        <w:t>v konkretnih situacijah.</w:t>
      </w:r>
      <w:r>
        <w:rPr>
          <w:rFonts w:eastAsia="TimesNewRomanPSMT" w:cs="Arial"/>
          <w:color w:val="000000"/>
        </w:rPr>
        <w:t xml:space="preserve"> </w:t>
      </w:r>
      <w:r w:rsidRPr="00767D6E">
        <w:rPr>
          <w:rFonts w:eastAsia="NimbusRomNo9LEE-Regu" w:cs="NimbusRomNo9LEE-Regu"/>
        </w:rPr>
        <w:t>Slog pisanja</w:t>
      </w:r>
      <w:r>
        <w:rPr>
          <w:rFonts w:eastAsia="NimbusRomNo9LEE-Regu" w:cs="NimbusRomNo9LEE-Regu"/>
        </w:rPr>
        <w:t xml:space="preserve"> v priročniku </w:t>
      </w:r>
      <w:r w:rsidRPr="00767D6E">
        <w:rPr>
          <w:rFonts w:eastAsia="NimbusRomNo9LEE-Regu" w:cs="NimbusRomNo9LEE-Regu"/>
        </w:rPr>
        <w:t xml:space="preserve"> je preprič</w:t>
      </w:r>
      <w:r>
        <w:rPr>
          <w:rFonts w:eastAsia="NimbusRomNo9LEE-Regu" w:cs="NimbusRomNo9LEE-Regu"/>
        </w:rPr>
        <w:t xml:space="preserve">ljiv in življenjski saj izhaja iz številnih primerov dobrih praks prostovoljstva v Sloveniji in tako pomaga </w:t>
      </w:r>
      <w:r w:rsidRPr="00767D6E">
        <w:rPr>
          <w:rFonts w:eastAsia="NimbusRomNo9LEE-Regu" w:cs="NimbusRomNo9LEE-Regu"/>
        </w:rPr>
        <w:t xml:space="preserve">pogledati </w:t>
      </w:r>
      <w:r>
        <w:rPr>
          <w:rFonts w:eastAsia="NimbusRomNo9LEE-Regu" w:cs="NimbusRomNo9LEE-Regu"/>
        </w:rPr>
        <w:t xml:space="preserve"> na prostovoljstvo </w:t>
      </w:r>
      <w:r w:rsidR="002A6DDC">
        <w:rPr>
          <w:rFonts w:eastAsia="NimbusRomNo9LEE-Regu" w:cs="NimbusRomNo9LEE-Regu"/>
        </w:rPr>
        <w:t>z nove perspektive in pomaga mentorjem angažirati  mlade v različne prostovoljske aktivnosti.</w:t>
      </w:r>
    </w:p>
    <w:p w:rsidR="00494BBF" w:rsidRDefault="00C31CF2" w:rsidP="003A7389">
      <w:pPr>
        <w:rPr>
          <w:rFonts w:eastAsia="NimbusRomNo9LEE-Regu" w:cs="NimbusRomNo9LEE-Regu"/>
        </w:rPr>
      </w:pPr>
      <w:r>
        <w:rPr>
          <w:rFonts w:eastAsia="NimbusRomNo9LEE-Regu" w:cs="NimbusRomNo9LEE-Regu"/>
        </w:rPr>
        <w:t xml:space="preserve">Že naslovi posameznih poglavij in namigi za krepitev posameznih kompetenc skozi prostovoljsko delo so izzivalni . </w:t>
      </w:r>
      <w:r w:rsidR="00494BBF">
        <w:rPr>
          <w:rFonts w:eastAsia="NimbusRomNo9LEE-Regu" w:cs="NimbusRomNo9LEE-Regu"/>
        </w:rPr>
        <w:t xml:space="preserve">Poglavje z naslovom </w:t>
      </w:r>
      <w:r>
        <w:rPr>
          <w:rFonts w:eastAsia="NimbusRomNo9LEE-Regu" w:cs="NimbusRomNo9LEE-Regu"/>
        </w:rPr>
        <w:t xml:space="preserve"> </w:t>
      </w:r>
      <w:r w:rsidR="00494BBF">
        <w:rPr>
          <w:rFonts w:eastAsia="NimbusRomNo9LEE-Regu" w:cs="NimbusRomNo9LEE-Regu"/>
        </w:rPr>
        <w:t xml:space="preserve">»prostovoljstvo kot priložnost za </w:t>
      </w:r>
      <w:proofErr w:type="spellStart"/>
      <w:r w:rsidR="00494BBF">
        <w:rPr>
          <w:rFonts w:eastAsia="NimbusRomNo9LEE-Regu" w:cs="NimbusRomNo9LEE-Regu"/>
        </w:rPr>
        <w:t>opolnomočenje</w:t>
      </w:r>
      <w:proofErr w:type="spellEnd"/>
      <w:r w:rsidR="00494BBF">
        <w:rPr>
          <w:rFonts w:eastAsia="NimbusRomNo9LEE-Regu" w:cs="NimbusRomNo9LEE-Regu"/>
        </w:rPr>
        <w:t>«  nagovarja</w:t>
      </w:r>
      <w:r>
        <w:rPr>
          <w:rFonts w:eastAsia="NimbusRomNo9LEE-Regu" w:cs="NimbusRomNo9LEE-Regu"/>
        </w:rPr>
        <w:t xml:space="preserve"> </w:t>
      </w:r>
      <w:r w:rsidR="00494BBF">
        <w:rPr>
          <w:rFonts w:eastAsia="NimbusRomNo9LEE-Regu" w:cs="NimbusRomNo9LEE-Regu"/>
        </w:rPr>
        <w:t xml:space="preserve"> in poudarja pomen prostovoljstva, ki omogoča mladim pozitivno in koristno uveljavljanje</w:t>
      </w:r>
      <w:r w:rsidR="00AA211C">
        <w:rPr>
          <w:rFonts w:eastAsia="NimbusRomNo9LEE-Regu" w:cs="NimbusRomNo9LEE-Regu"/>
        </w:rPr>
        <w:t>, ki krepi</w:t>
      </w:r>
      <w:r w:rsidR="00494BBF">
        <w:rPr>
          <w:rFonts w:eastAsia="NimbusRomNo9LEE-Regu" w:cs="NimbusRomNo9LEE-Regu"/>
        </w:rPr>
        <w:t xml:space="preserve"> občutek lastne vrednosti.</w:t>
      </w:r>
    </w:p>
    <w:p w:rsidR="00494BBF" w:rsidRDefault="003A7389" w:rsidP="003A7389">
      <w:pPr>
        <w:rPr>
          <w:rFonts w:eastAsia="Times New Roman" w:cs="Arial"/>
          <w:lang w:eastAsia="sl-SI"/>
        </w:rPr>
      </w:pPr>
      <w:r>
        <w:rPr>
          <w:rFonts w:eastAsia="NimbusRomNo9LEE-Regu" w:cs="NimbusRomNo9LEE-Regu"/>
        </w:rPr>
        <w:t>Paleta odličnih prostovoljskih aktivnosti</w:t>
      </w:r>
      <w:r w:rsidR="00C31CF2">
        <w:rPr>
          <w:rFonts w:eastAsia="NimbusRomNo9LEE-Regu" w:cs="NimbusRomNo9LEE-Regu"/>
        </w:rPr>
        <w:t xml:space="preserve"> pa spodbuja, da je mogoče delati kakovostno in razvijati vedno nove prostovoljske aktivnosti na šoli.</w:t>
      </w:r>
      <w:r w:rsidR="00494BBF">
        <w:rPr>
          <w:rFonts w:eastAsia="NimbusRomNo9LEE-Regu" w:cs="NimbusRomNo9LEE-Regu"/>
        </w:rPr>
        <w:t xml:space="preserve"> Prostovoljstvo  </w:t>
      </w:r>
      <w:r w:rsidR="00494BBF">
        <w:rPr>
          <w:rFonts w:eastAsia="Times New Roman" w:cs="Arial"/>
          <w:lang w:eastAsia="sl-SI"/>
        </w:rPr>
        <w:t>krepi tudi zavedanje o pomenu ustvarjalnosti in ustvarjalnega procesa pri učencih, dijakih in odraslih.</w:t>
      </w:r>
    </w:p>
    <w:p w:rsidR="00F2772B" w:rsidRPr="00494BBF" w:rsidRDefault="00F2772B" w:rsidP="003A7389">
      <w:pPr>
        <w:rPr>
          <w:rFonts w:eastAsia="Times New Roman" w:cs="Arial"/>
          <w:lang w:eastAsia="sl-SI"/>
        </w:rPr>
      </w:pPr>
      <w:r>
        <w:t>Oživeti prostovoljstvo na šolah ni kuhanje po receptih - priročnik ABC o prostovoljstvo to ni - ampak pomeni delo skupaj z mladimi, zaposlenimi, starši in lokalno skupnostjo.  Prostovoljstvo je odzivanje na potrebe ljudi in naj ne bo delo za ljudi ampak delo skupaj z njimi.</w:t>
      </w:r>
    </w:p>
    <w:p w:rsidR="00F2772B" w:rsidRDefault="00167E24" w:rsidP="00F2772B">
      <w:pPr>
        <w:rPr>
          <w:rFonts w:cs="Times New Roman"/>
        </w:rPr>
      </w:pPr>
      <w:r w:rsidRPr="00167E24">
        <w:t xml:space="preserve">Priročnik ponuja celovit pregled kaj prostovoljstvo na šolah je in kako ga organizacijsko in formalno opredeliti ter uvesti v vsakodnevno življenje šole. Je </w:t>
      </w:r>
      <w:r w:rsidRPr="00167E24">
        <w:rPr>
          <w:rFonts w:cs="Times New Roman"/>
        </w:rPr>
        <w:t>premišljeno zastavljen in hkrati odprt in  ga je možno ustvarjalno nadgrajevati in prilagajati posameznemu okolju.</w:t>
      </w:r>
    </w:p>
    <w:p w:rsidR="00F2772B" w:rsidRDefault="00F2772B" w:rsidP="00F2772B">
      <w:r>
        <w:lastRenderedPageBreak/>
        <w:t xml:space="preserve">Zakaj priročnik potrebujemo? </w:t>
      </w:r>
    </w:p>
    <w:p w:rsidR="003A5FC8" w:rsidRDefault="003A5FC8" w:rsidP="00F2772B">
      <w:pPr>
        <w:rPr>
          <w:rFonts w:eastAsia="NimbusRomNo9LEE-Regu" w:cs="NimbusRomNo9LEE-Regu"/>
        </w:rPr>
      </w:pPr>
      <w:r>
        <w:rPr>
          <w:rFonts w:eastAsia="NimbusRomNo9LEE-Regu" w:cs="NimbusRomNo9LEE-Regu"/>
        </w:rPr>
        <w:t>Izvršna direktorica Slovenske filantropije v uvodu poudari , da je priročnik namenjen mentorjem, ki se pri svojem vsakodnevnem delu trudijo poiskati uporabne metode, s katerimi bi pripeljali otroke skozi izkus</w:t>
      </w:r>
      <w:r w:rsidR="002A6DDC">
        <w:rPr>
          <w:rFonts w:eastAsia="NimbusRomNo9LEE-Regu" w:cs="NimbusRomNo9LEE-Regu"/>
        </w:rPr>
        <w:t>tva, pomembna za njihov razvoj, ki pripomorejo k boljši in bolj raznoliki in solidarni skupnosti. V</w:t>
      </w:r>
      <w:r>
        <w:rPr>
          <w:rFonts w:eastAsia="NimbusRomNo9LEE-Regu" w:cs="NimbusRomNo9LEE-Regu"/>
        </w:rPr>
        <w:t>erjame, da jim bo knjiga Nevenke Gladek</w:t>
      </w:r>
      <w:r w:rsidR="00DB593E">
        <w:rPr>
          <w:rFonts w:eastAsia="NimbusRomNo9LEE-Regu" w:cs="NimbusRomNo9LEE-Regu"/>
        </w:rPr>
        <w:t>, ki je v priročniku strnila svoje dolgoletne izkušnje skupaj z Tjašo Arko in Primožem Jamškom , pri delu z mladimi in mentorji v veliko pomoč pri učinkovitem uvajanju prostovoljstva znotraj šole.</w:t>
      </w:r>
    </w:p>
    <w:p w:rsidR="00F2772B" w:rsidRDefault="00F2772B" w:rsidP="00F2772B">
      <w:pPr>
        <w:pStyle w:val="Navadensplet"/>
        <w:rPr>
          <w:rFonts w:asciiTheme="minorHAnsi" w:hAnsiTheme="minorHAnsi"/>
          <w:sz w:val="22"/>
          <w:szCs w:val="22"/>
        </w:rPr>
      </w:pPr>
      <w:r>
        <w:rPr>
          <w:rFonts w:asciiTheme="minorHAnsi" w:hAnsiTheme="minorHAnsi"/>
          <w:sz w:val="22"/>
          <w:szCs w:val="22"/>
        </w:rPr>
        <w:t>Velikokrat se na šolah ne zavedajo,  da prostovoljske dejavnosti pravzaprav že izvajajo. Priročnik pomaga da to prepoznamo.</w:t>
      </w:r>
    </w:p>
    <w:p w:rsidR="00F2772B" w:rsidRDefault="00F2772B" w:rsidP="00F2772B">
      <w:pPr>
        <w:pStyle w:val="Navadensplet"/>
        <w:rPr>
          <w:rFonts w:asciiTheme="minorHAnsi" w:hAnsiTheme="minorHAnsi"/>
          <w:sz w:val="22"/>
          <w:szCs w:val="22"/>
        </w:rPr>
      </w:pPr>
      <w:r>
        <w:rPr>
          <w:rFonts w:asciiTheme="minorHAnsi" w:hAnsiTheme="minorHAnsi"/>
          <w:sz w:val="22"/>
          <w:szCs w:val="22"/>
        </w:rPr>
        <w:t xml:space="preserve">Hkrati nas spodbudi k iskanju novih prostovoljskih aktivnosti. Ob prebiranju se vam lahko poraja pomislek glede potrebe po formalizaciji prostovoljstva na šolah. </w:t>
      </w:r>
    </w:p>
    <w:p w:rsidR="00F2772B" w:rsidRDefault="00F2772B" w:rsidP="00F2772B">
      <w:pPr>
        <w:pStyle w:val="Navadensplet"/>
        <w:rPr>
          <w:rFonts w:asciiTheme="minorHAnsi" w:hAnsiTheme="minorHAnsi"/>
          <w:sz w:val="22"/>
          <w:szCs w:val="22"/>
        </w:rPr>
      </w:pPr>
      <w:r>
        <w:rPr>
          <w:rFonts w:asciiTheme="minorHAnsi" w:hAnsiTheme="minorHAnsi"/>
          <w:sz w:val="22"/>
          <w:szCs w:val="22"/>
        </w:rPr>
        <w:t xml:space="preserve">Formalizacija prostovoljstva je lahko tudi način kako vzpostaviti prostovoljske aktivnosti celovito, vključujoč vse deležnike šole, in ne zgolj kot eden izmed mnogih projektov. </w:t>
      </w:r>
    </w:p>
    <w:p w:rsidR="00767D6E" w:rsidRDefault="00767D6E" w:rsidP="00767D6E">
      <w:pPr>
        <w:pStyle w:val="Navadensplet"/>
        <w:spacing w:before="0" w:beforeAutospacing="0" w:after="0" w:afterAutospacing="0"/>
        <w:rPr>
          <w:rFonts w:asciiTheme="minorHAnsi" w:hAnsiTheme="minorHAnsi" w:cs="Arial"/>
          <w:bCs/>
          <w:color w:val="000000"/>
          <w:sz w:val="22"/>
          <w:szCs w:val="22"/>
        </w:rPr>
      </w:pPr>
      <w:r>
        <w:rPr>
          <w:rFonts w:asciiTheme="minorHAnsi" w:hAnsiTheme="minorHAnsi"/>
          <w:sz w:val="22"/>
          <w:szCs w:val="22"/>
          <w:lang w:eastAsia="en-US"/>
        </w:rPr>
        <w:t xml:space="preserve">Priročnik pomaga </w:t>
      </w:r>
      <w:r>
        <w:rPr>
          <w:rFonts w:asciiTheme="minorHAnsi" w:hAnsiTheme="minorHAnsi" w:cs="Arial"/>
          <w:color w:val="000000"/>
          <w:sz w:val="22"/>
          <w:szCs w:val="22"/>
        </w:rPr>
        <w:t xml:space="preserve"> (raz)širili zavedanje o vzajemni soodvisnosti med vsemi nami in pozitivnih vplivih prostovoljstva, ki se odslikava tudi </w:t>
      </w:r>
      <w:r>
        <w:rPr>
          <w:rFonts w:asciiTheme="minorHAnsi" w:hAnsiTheme="minorHAnsi" w:cs="Arial"/>
          <w:bCs/>
          <w:color w:val="000000"/>
          <w:sz w:val="22"/>
          <w:szCs w:val="22"/>
        </w:rPr>
        <w:t>v kulturi sobivanja.</w:t>
      </w:r>
    </w:p>
    <w:p w:rsidR="00925214" w:rsidRDefault="00925214" w:rsidP="00767D6E">
      <w:pPr>
        <w:pStyle w:val="Navadensplet"/>
        <w:spacing w:before="0" w:beforeAutospacing="0" w:after="0" w:afterAutospacing="0"/>
        <w:rPr>
          <w:rFonts w:asciiTheme="minorHAnsi" w:hAnsiTheme="minorHAnsi" w:cs="Arial"/>
          <w:bCs/>
          <w:color w:val="000000"/>
          <w:sz w:val="22"/>
          <w:szCs w:val="22"/>
        </w:rPr>
      </w:pPr>
      <w:r>
        <w:rPr>
          <w:rFonts w:asciiTheme="minorHAnsi" w:hAnsiTheme="minorHAnsi" w:cs="Arial"/>
          <w:bCs/>
          <w:color w:val="000000"/>
          <w:sz w:val="22"/>
          <w:szCs w:val="22"/>
        </w:rPr>
        <w:t xml:space="preserve"> V poglavju z naslovom »prostovoljstvo kot območje neformalnega učenja«   mladi prostovoljci pripovedujejo o tem, da jim je prav prostovoljsko delo prineslo nenadomestljive izkušnje na različnih področjih. Včasih gre za pridobivanje nove spretnosti in socialne veščine, drugič pa za spoznavanje drugih kultur, socialnih skupin in generacij. Prostovoljstvo velja za neprecenljivo območje neformalnega učenja. </w:t>
      </w:r>
    </w:p>
    <w:p w:rsidR="00767D6E" w:rsidRDefault="00830652" w:rsidP="00767D6E">
      <w:pPr>
        <w:rPr>
          <w:rFonts w:eastAsia="TimesNewRomanPSMT" w:cs="Arial"/>
          <w:color w:val="000000"/>
        </w:rPr>
      </w:pPr>
      <w:r>
        <w:rPr>
          <w:rFonts w:eastAsia="Times New Roman" w:cs="Arial"/>
          <w:lang w:eastAsia="sl-SI"/>
        </w:rPr>
        <w:t>V priročniku so ponujene</w:t>
      </w:r>
      <w:r w:rsidR="00767D6E">
        <w:rPr>
          <w:rFonts w:eastAsia="Times New Roman" w:cs="Arial"/>
          <w:lang w:eastAsia="sl-SI"/>
        </w:rPr>
        <w:t xml:space="preserve"> različne možnosti za razvoj novih pedagoških strategij in oblik dela, ki pripomore</w:t>
      </w:r>
      <w:r w:rsidR="003A5FC8">
        <w:rPr>
          <w:rFonts w:eastAsia="Times New Roman" w:cs="Arial"/>
          <w:lang w:eastAsia="sl-SI"/>
        </w:rPr>
        <w:t>jo k razvoju ključnih kompetenc</w:t>
      </w:r>
      <w:r w:rsidR="00925214">
        <w:rPr>
          <w:rFonts w:eastAsia="Times New Roman" w:cs="Arial"/>
          <w:lang w:eastAsia="sl-SI"/>
        </w:rPr>
        <w:t xml:space="preserve"> </w:t>
      </w:r>
      <w:r w:rsidR="00925214">
        <w:rPr>
          <w:rFonts w:cs="Arial"/>
          <w:bCs/>
          <w:color w:val="000000"/>
        </w:rPr>
        <w:t>vseživljenjskega učenja</w:t>
      </w:r>
      <w:r w:rsidR="003A5FC8">
        <w:rPr>
          <w:rFonts w:eastAsia="Times New Roman" w:cs="Arial"/>
          <w:lang w:eastAsia="sl-SI"/>
        </w:rPr>
        <w:t xml:space="preserve">, ki </w:t>
      </w:r>
      <w:r w:rsidR="003A5FC8">
        <w:rPr>
          <w:rFonts w:eastAsia="TimesNewRomanPSMT" w:cs="Arial"/>
          <w:color w:val="000000"/>
        </w:rPr>
        <w:t>u</w:t>
      </w:r>
      <w:r w:rsidR="00767D6E">
        <w:rPr>
          <w:rFonts w:eastAsia="TimesNewRomanPSMT" w:cs="Arial"/>
          <w:color w:val="000000"/>
        </w:rPr>
        <w:t>čence in dijake lahko opremi</w:t>
      </w:r>
      <w:r w:rsidR="003A5FC8">
        <w:rPr>
          <w:rFonts w:eastAsia="TimesNewRomanPSMT" w:cs="Arial"/>
          <w:color w:val="000000"/>
        </w:rPr>
        <w:t>jo</w:t>
      </w:r>
      <w:r w:rsidR="00767D6E">
        <w:rPr>
          <w:rFonts w:eastAsia="TimesNewRomanPSMT" w:cs="Arial"/>
          <w:color w:val="000000"/>
        </w:rPr>
        <w:t xml:space="preserve"> z znanjem in veščinami, pomembnimi za udejanjenje  vrednot in vrlin za kulturo sobivanja pri pouku,</w:t>
      </w:r>
      <w:r w:rsidR="00767D6E">
        <w:rPr>
          <w:rFonts w:eastAsia="Times New Roman" w:cs="Arial"/>
          <w:lang w:eastAsia="sl-SI"/>
        </w:rPr>
        <w:t xml:space="preserve"> </w:t>
      </w:r>
      <w:r w:rsidR="00767D6E">
        <w:rPr>
          <w:rFonts w:eastAsia="TimesNewRomanPSMT" w:cs="Arial"/>
          <w:color w:val="000000"/>
        </w:rPr>
        <w:t xml:space="preserve">življenju šole in izven šole. </w:t>
      </w:r>
    </w:p>
    <w:p w:rsidR="00AA211C" w:rsidRDefault="002A6DDC" w:rsidP="00767D6E">
      <w:pPr>
        <w:rPr>
          <w:rFonts w:eastAsia="Times New Roman" w:cs="Arial"/>
          <w:lang w:eastAsia="sl-SI"/>
        </w:rPr>
      </w:pPr>
      <w:r>
        <w:rPr>
          <w:rFonts w:eastAsia="Times New Roman" w:cs="Arial"/>
          <w:lang w:eastAsia="sl-SI"/>
        </w:rPr>
        <w:t>Jožica Pika Gramc, Zavod RS za šolstvo</w:t>
      </w:r>
      <w:bookmarkStart w:id="0" w:name="_GoBack"/>
      <w:bookmarkEnd w:id="0"/>
    </w:p>
    <w:p w:rsidR="00767D6E" w:rsidRPr="00167E24" w:rsidRDefault="00767D6E" w:rsidP="00167E24"/>
    <w:p w:rsidR="005D1C48" w:rsidRPr="00767D6E" w:rsidRDefault="005D1C48" w:rsidP="00B61724"/>
    <w:sectPr w:rsidR="005D1C48" w:rsidRPr="00767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NimbusRomNo9LEE-Regu">
    <w:altName w:val="MS Mincho"/>
    <w:panose1 w:val="00000000000000000000"/>
    <w:charset w:val="80"/>
    <w:family w:val="auto"/>
    <w:notTrueType/>
    <w:pitch w:val="default"/>
    <w:sig w:usb0="00000000" w:usb1="08070000" w:usb2="00000010" w:usb3="00000000" w:csb0="00020000" w:csb1="00000000"/>
  </w:font>
  <w:font w:name="NimbusRomNo9LEE-ReguItal">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24"/>
    <w:rsid w:val="00093D0E"/>
    <w:rsid w:val="00167E24"/>
    <w:rsid w:val="002A6DDC"/>
    <w:rsid w:val="003A5FC8"/>
    <w:rsid w:val="003A7389"/>
    <w:rsid w:val="00494BBF"/>
    <w:rsid w:val="005D1C48"/>
    <w:rsid w:val="00767D6E"/>
    <w:rsid w:val="00830652"/>
    <w:rsid w:val="00925214"/>
    <w:rsid w:val="009D497A"/>
    <w:rsid w:val="00AA211C"/>
    <w:rsid w:val="00B61724"/>
    <w:rsid w:val="00C31CF2"/>
    <w:rsid w:val="00DB593E"/>
    <w:rsid w:val="00F277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2772B"/>
    <w:pPr>
      <w:spacing w:before="100" w:beforeAutospacing="1" w:after="100" w:afterAutospacing="1" w:line="240" w:lineRule="auto"/>
    </w:pPr>
    <w:rPr>
      <w:rFonts w:ascii="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2772B"/>
    <w:pPr>
      <w:spacing w:before="100" w:beforeAutospacing="1" w:after="100" w:afterAutospacing="1"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81519">
      <w:bodyDiv w:val="1"/>
      <w:marLeft w:val="0"/>
      <w:marRight w:val="0"/>
      <w:marTop w:val="0"/>
      <w:marBottom w:val="0"/>
      <w:divBdr>
        <w:top w:val="none" w:sz="0" w:space="0" w:color="auto"/>
        <w:left w:val="none" w:sz="0" w:space="0" w:color="auto"/>
        <w:bottom w:val="none" w:sz="0" w:space="0" w:color="auto"/>
        <w:right w:val="none" w:sz="0" w:space="0" w:color="auto"/>
      </w:divBdr>
    </w:div>
    <w:div w:id="387995871">
      <w:bodyDiv w:val="1"/>
      <w:marLeft w:val="0"/>
      <w:marRight w:val="0"/>
      <w:marTop w:val="0"/>
      <w:marBottom w:val="0"/>
      <w:divBdr>
        <w:top w:val="none" w:sz="0" w:space="0" w:color="auto"/>
        <w:left w:val="none" w:sz="0" w:space="0" w:color="auto"/>
        <w:bottom w:val="none" w:sz="0" w:space="0" w:color="auto"/>
        <w:right w:val="none" w:sz="0" w:space="0" w:color="auto"/>
      </w:divBdr>
    </w:div>
    <w:div w:id="520318579">
      <w:bodyDiv w:val="1"/>
      <w:marLeft w:val="0"/>
      <w:marRight w:val="0"/>
      <w:marTop w:val="0"/>
      <w:marBottom w:val="0"/>
      <w:divBdr>
        <w:top w:val="none" w:sz="0" w:space="0" w:color="auto"/>
        <w:left w:val="none" w:sz="0" w:space="0" w:color="auto"/>
        <w:bottom w:val="none" w:sz="0" w:space="0" w:color="auto"/>
        <w:right w:val="none" w:sz="0" w:space="0" w:color="auto"/>
      </w:divBdr>
    </w:div>
    <w:div w:id="11513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790</Words>
  <Characters>4509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13</cp:revision>
  <dcterms:created xsi:type="dcterms:W3CDTF">2015-04-21T08:30:00Z</dcterms:created>
  <dcterms:modified xsi:type="dcterms:W3CDTF">2015-04-29T09:36:00Z</dcterms:modified>
</cp:coreProperties>
</file>