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C7" w:rsidRPr="001B0BC7" w:rsidRDefault="001B0BC7" w:rsidP="001B0B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sl-SI"/>
        </w:rPr>
      </w:pPr>
      <w:r w:rsidRPr="001B0BC7">
        <w:rPr>
          <w:rFonts w:ascii="Times New Roman" w:eastAsia="Times New Roman" w:hAnsi="Times New Roman" w:cs="Times New Roman"/>
          <w:bCs/>
          <w:kern w:val="36"/>
          <w:lang w:eastAsia="sl-SI"/>
        </w:rPr>
        <w:t>Javno posvetovanje o ključnih kompetencah za vseživljensko učenje</w:t>
      </w:r>
    </w:p>
    <w:p w:rsidR="001B0BC7" w:rsidRDefault="001B0BC7" w:rsidP="001B0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</w:p>
    <w:p w:rsidR="001B0BC7" w:rsidRPr="001B0BC7" w:rsidRDefault="001B0BC7" w:rsidP="001B0BC7">
      <w:pPr>
        <w:spacing w:after="0" w:line="240" w:lineRule="auto"/>
        <w:rPr>
          <w:rFonts w:eastAsia="Times New Roman" w:cs="Times New Roman"/>
          <w:lang w:eastAsia="sl-SI"/>
        </w:rPr>
      </w:pPr>
      <w:r w:rsidRPr="001B0BC7">
        <w:rPr>
          <w:rFonts w:eastAsia="Times New Roman" w:cs="Times New Roman"/>
          <w:lang w:eastAsia="sl-SI"/>
        </w:rPr>
        <w:t>Evropska komisija je začela </w:t>
      </w:r>
      <w:hyperlink r:id="rId5" w:history="1">
        <w:r w:rsidRPr="001B0BC7">
          <w:rPr>
            <w:rFonts w:eastAsia="Times New Roman" w:cs="Times New Roman"/>
            <w:color w:val="0000FF"/>
            <w:u w:val="single"/>
            <w:lang w:eastAsia="sl-SI"/>
          </w:rPr>
          <w:t>javno posvetovanje o ključnih kompetencah za vseživljenjsko učenje</w:t>
        </w:r>
      </w:hyperlink>
      <w:r w:rsidRPr="001B0BC7">
        <w:rPr>
          <w:rFonts w:eastAsia="Times New Roman" w:cs="Times New Roman"/>
          <w:lang w:eastAsia="sl-SI"/>
        </w:rPr>
        <w:t xml:space="preserve">, da bi opredelila spretnosti in kompetence, ki jih mladi potrebujejo za uspeh na trgu dela in v življenju. Kot so ob pričetku posvetovanja sporočili iz </w:t>
      </w:r>
      <w:hyperlink r:id="rId6" w:history="1">
        <w:r w:rsidRPr="001B0BC7">
          <w:rPr>
            <w:rFonts w:eastAsia="Times New Roman" w:cs="Times New Roman"/>
            <w:color w:val="0000FF"/>
            <w:u w:val="single"/>
            <w:lang w:eastAsia="sl-SI"/>
          </w:rPr>
          <w:t>Predstavništva Komisije v Sloveniji</w:t>
        </w:r>
      </w:hyperlink>
      <w:r w:rsidRPr="001B0BC7">
        <w:rPr>
          <w:rFonts w:eastAsia="Times New Roman" w:cs="Times New Roman"/>
          <w:lang w:eastAsia="sl-SI"/>
        </w:rPr>
        <w:t xml:space="preserve">, bodo zbrana mnenja upoštevali pri posodobitvi priporočila o ključnih kompetencah za vseživljenjsko učenje iz leta 2006. </w:t>
      </w:r>
    </w:p>
    <w:p w:rsidR="001B0BC7" w:rsidRPr="001B0BC7" w:rsidRDefault="001B0BC7" w:rsidP="001B0BC7">
      <w:pPr>
        <w:spacing w:after="0" w:line="240" w:lineRule="auto"/>
        <w:rPr>
          <w:rFonts w:eastAsia="Times New Roman" w:cs="Times New Roman"/>
          <w:b/>
          <w:lang w:eastAsia="sl-SI"/>
        </w:rPr>
      </w:pPr>
      <w:r w:rsidRPr="001B0BC7">
        <w:rPr>
          <w:rFonts w:eastAsia="Times New Roman" w:cs="Times New Roman"/>
          <w:b/>
          <w:lang w:eastAsia="sl-SI"/>
        </w:rPr>
        <w:t>Izobraževalne ustanove, oblikovalci politike, izvajalci izobraževanja in državljani so vabljeni, da do 19. maja 2017 oddajo svoje predloge.</w:t>
      </w:r>
    </w:p>
    <w:p w:rsidR="001B0BC7" w:rsidRPr="001B0BC7" w:rsidRDefault="001B0BC7" w:rsidP="001B0BC7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sl-SI"/>
        </w:rPr>
      </w:pPr>
      <w:r w:rsidRPr="001B0BC7">
        <w:rPr>
          <w:rFonts w:eastAsia="Times New Roman" w:cs="Times New Roman"/>
          <w:lang w:eastAsia="sl-SI"/>
        </w:rPr>
        <w:t>Evropska komisija sodeluje z državami EU pri uveljavljanju „ključnih kompetenc‟ (</w:t>
      </w:r>
      <w:r w:rsidRPr="001B0BC7">
        <w:rPr>
          <w:rFonts w:eastAsia="Times New Roman" w:cs="Times New Roman"/>
          <w:b/>
          <w:lang w:eastAsia="sl-SI"/>
        </w:rPr>
        <w:t>znanje, spretnosti ter vedenje</w:t>
      </w:r>
      <w:r w:rsidRPr="001B0BC7">
        <w:rPr>
          <w:rFonts w:eastAsia="Times New Roman" w:cs="Times New Roman"/>
          <w:lang w:eastAsia="sl-SI"/>
        </w:rPr>
        <w:t xml:space="preserve">), ki učencem pomagajo do osebne izpolnitve, pozneje v življenju pa do zaposlitve in udejstvovanja v družbi. </w:t>
      </w:r>
    </w:p>
    <w:p w:rsidR="001B0BC7" w:rsidRDefault="001B0BC7" w:rsidP="001B0BC7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lang w:eastAsia="sl-SI"/>
        </w:rPr>
      </w:pPr>
      <w:r w:rsidRPr="001B0BC7">
        <w:rPr>
          <w:rFonts w:eastAsia="Times New Roman" w:cs="Times New Roman"/>
          <w:i/>
          <w:lang w:eastAsia="sl-SI"/>
        </w:rPr>
        <w:t xml:space="preserve">Med temi ključnimi kompetencami so tradicionalne spretnosti, denimo sporazumevanje v materinščini in tujih jezikih, digitalne spretnosti, pismenost, osnovno znanje matematike in naravoslovja, ter medpredmetne spretnosti, denimo učenje učenja, </w:t>
      </w:r>
      <w:r w:rsidRPr="00DA6A60">
        <w:rPr>
          <w:rFonts w:eastAsia="Times New Roman" w:cs="Times New Roman"/>
          <w:b/>
          <w:i/>
          <w:lang w:eastAsia="sl-SI"/>
        </w:rPr>
        <w:t>družbena in državljanska odgovornost</w:t>
      </w:r>
      <w:r w:rsidRPr="001B0BC7">
        <w:rPr>
          <w:rFonts w:eastAsia="Times New Roman" w:cs="Times New Roman"/>
          <w:i/>
          <w:lang w:eastAsia="sl-SI"/>
        </w:rPr>
        <w:t>,</w:t>
      </w:r>
      <w:r w:rsidR="00DA6A60">
        <w:rPr>
          <w:rFonts w:eastAsia="Times New Roman" w:cs="Times New Roman"/>
          <w:i/>
          <w:lang w:eastAsia="sl-SI"/>
        </w:rPr>
        <w:t>*</w:t>
      </w:r>
      <w:r w:rsidRPr="001B0BC7">
        <w:rPr>
          <w:rFonts w:eastAsia="Times New Roman" w:cs="Times New Roman"/>
          <w:i/>
          <w:lang w:eastAsia="sl-SI"/>
        </w:rPr>
        <w:t xml:space="preserve"> samoiniciativnost in podjetnost, kulturna ozaveščenost in ustvarjalnost.</w:t>
      </w:r>
    </w:p>
    <w:p w:rsidR="00DA6A60" w:rsidRDefault="00DA6A60" w:rsidP="00DA6A60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1CFB"/>
          <w:sz w:val="20"/>
          <w:szCs w:val="20"/>
        </w:rPr>
      </w:pPr>
      <w:r>
        <w:rPr>
          <w:rFonts w:ascii="ArialMT" w:eastAsia="ArialMT" w:cs="ArialMT"/>
          <w:color w:val="001CFB"/>
          <w:sz w:val="20"/>
          <w:szCs w:val="20"/>
        </w:rPr>
        <w:t>Socialne in dr</w:t>
      </w:r>
      <w:r>
        <w:rPr>
          <w:rFonts w:ascii="ArialMT" w:eastAsia="ArialMT" w:cs="ArialMT" w:hint="eastAsia"/>
          <w:color w:val="001CFB"/>
          <w:sz w:val="20"/>
          <w:szCs w:val="20"/>
        </w:rPr>
        <w:t>ž</w:t>
      </w:r>
      <w:r>
        <w:rPr>
          <w:rFonts w:ascii="ArialMT" w:eastAsia="ArialMT" w:cs="ArialMT"/>
          <w:color w:val="001CFB"/>
          <w:sz w:val="20"/>
          <w:szCs w:val="20"/>
        </w:rPr>
        <w:t>avljanske kompetence so med najpomembnej</w:t>
      </w:r>
      <w:r>
        <w:rPr>
          <w:rFonts w:ascii="ArialMT" w:eastAsia="ArialMT" w:cs="ArialMT" w:hint="eastAsia"/>
          <w:color w:val="001CFB"/>
          <w:sz w:val="20"/>
          <w:szCs w:val="20"/>
        </w:rPr>
        <w:t>š</w:t>
      </w:r>
      <w:r>
        <w:rPr>
          <w:rFonts w:ascii="ArialMT" w:eastAsia="ArialMT" w:cs="ArialMT"/>
          <w:color w:val="001CFB"/>
          <w:sz w:val="20"/>
          <w:szCs w:val="20"/>
        </w:rPr>
        <w:t>imi</w:t>
      </w:r>
    </w:p>
    <w:p w:rsidR="00DA6A60" w:rsidRDefault="00DA6A60" w:rsidP="00DA6A60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1CFB"/>
          <w:sz w:val="20"/>
          <w:szCs w:val="20"/>
        </w:rPr>
      </w:pPr>
      <w:r>
        <w:rPr>
          <w:rFonts w:ascii="ArialMT" w:eastAsia="ArialMT" w:cs="ArialMT"/>
          <w:color w:val="001CFB"/>
          <w:sz w:val="20"/>
          <w:szCs w:val="20"/>
        </w:rPr>
        <w:t>vidiki evropskega sodelovanja na podro</w:t>
      </w:r>
      <w:r>
        <w:rPr>
          <w:rFonts w:ascii="ArialMT" w:eastAsia="ArialMT" w:cs="ArialMT" w:hint="eastAsia"/>
          <w:color w:val="001CFB"/>
          <w:sz w:val="20"/>
          <w:szCs w:val="20"/>
        </w:rPr>
        <w:t>č</w:t>
      </w:r>
      <w:r>
        <w:rPr>
          <w:rFonts w:ascii="ArialMT" w:eastAsia="ArialMT" w:cs="ArialMT"/>
          <w:color w:val="001CFB"/>
          <w:sz w:val="20"/>
          <w:szCs w:val="20"/>
        </w:rPr>
        <w:t>ju izobra</w:t>
      </w:r>
      <w:r>
        <w:rPr>
          <w:rFonts w:ascii="ArialMT" w:eastAsia="ArialMT" w:cs="ArialMT" w:hint="eastAsia"/>
          <w:color w:val="001CFB"/>
          <w:sz w:val="20"/>
          <w:szCs w:val="20"/>
        </w:rPr>
        <w:t>ž</w:t>
      </w:r>
      <w:r>
        <w:rPr>
          <w:rFonts w:ascii="ArialMT" w:eastAsia="ArialMT" w:cs="ArialMT"/>
          <w:color w:val="001CFB"/>
          <w:sz w:val="20"/>
          <w:szCs w:val="20"/>
        </w:rPr>
        <w:t>evanja; spadajo med</w:t>
      </w:r>
    </w:p>
    <w:p w:rsidR="00DA6A60" w:rsidRDefault="00DA6A60" w:rsidP="00DA6A60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1CFB"/>
          <w:sz w:val="20"/>
          <w:szCs w:val="20"/>
        </w:rPr>
      </w:pPr>
      <w:r>
        <w:rPr>
          <w:rFonts w:ascii="ArialMT" w:eastAsia="ArialMT" w:cs="ArialMT"/>
          <w:color w:val="001CFB"/>
          <w:sz w:val="20"/>
          <w:szCs w:val="20"/>
        </w:rPr>
        <w:t>osem klju</w:t>
      </w:r>
      <w:r>
        <w:rPr>
          <w:rFonts w:ascii="ArialMT" w:eastAsia="ArialMT" w:cs="ArialMT" w:hint="eastAsia"/>
          <w:color w:val="001CFB"/>
          <w:sz w:val="20"/>
          <w:szCs w:val="20"/>
        </w:rPr>
        <w:t>č</w:t>
      </w:r>
      <w:r>
        <w:rPr>
          <w:rFonts w:ascii="ArialMT" w:eastAsia="ArialMT" w:cs="ArialMT"/>
          <w:color w:val="001CFB"/>
          <w:sz w:val="20"/>
          <w:szCs w:val="20"/>
        </w:rPr>
        <w:t>nih kompetenc, ki sta jih Svet in Evropski parlament leta 2006 dolo</w:t>
      </w:r>
      <w:r>
        <w:rPr>
          <w:rFonts w:ascii="ArialMT" w:eastAsia="ArialMT" w:cs="ArialMT" w:hint="eastAsia"/>
          <w:color w:val="001CFB"/>
          <w:sz w:val="20"/>
          <w:szCs w:val="20"/>
        </w:rPr>
        <w:t>č</w:t>
      </w:r>
      <w:r>
        <w:rPr>
          <w:rFonts w:ascii="ArialMT" w:eastAsia="ArialMT" w:cs="ArialMT"/>
          <w:color w:val="001CFB"/>
          <w:sz w:val="20"/>
          <w:szCs w:val="20"/>
        </w:rPr>
        <w:t>ila kot bistvene za</w:t>
      </w:r>
    </w:p>
    <w:p w:rsidR="00DA6A60" w:rsidRDefault="00DA6A60" w:rsidP="00DA6A60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1CFB"/>
          <w:sz w:val="20"/>
          <w:szCs w:val="20"/>
        </w:rPr>
      </w:pPr>
      <w:r>
        <w:rPr>
          <w:rFonts w:ascii="ArialMT" w:eastAsia="ArialMT" w:cs="ArialMT"/>
          <w:color w:val="001CFB"/>
          <w:sz w:val="20"/>
          <w:szCs w:val="20"/>
        </w:rPr>
        <w:t>dr</w:t>
      </w:r>
      <w:r>
        <w:rPr>
          <w:rFonts w:ascii="ArialMT" w:eastAsia="ArialMT" w:cs="ArialMT" w:hint="eastAsia"/>
          <w:color w:val="001CFB"/>
          <w:sz w:val="20"/>
          <w:szCs w:val="20"/>
        </w:rPr>
        <w:t>ž</w:t>
      </w:r>
      <w:r>
        <w:rPr>
          <w:rFonts w:ascii="ArialMT" w:eastAsia="ArialMT" w:cs="ArialMT"/>
          <w:color w:val="001CFB"/>
          <w:sz w:val="20"/>
          <w:szCs w:val="20"/>
        </w:rPr>
        <w:t xml:space="preserve">avljane, ki </w:t>
      </w:r>
      <w:r>
        <w:rPr>
          <w:rFonts w:ascii="ArialMT" w:eastAsia="ArialMT" w:cs="ArialMT" w:hint="eastAsia"/>
          <w:color w:val="001CFB"/>
          <w:sz w:val="20"/>
          <w:szCs w:val="20"/>
        </w:rPr>
        <w:t>ž</w:t>
      </w:r>
      <w:r>
        <w:rPr>
          <w:rFonts w:ascii="ArialMT" w:eastAsia="ArialMT" w:cs="ArialMT"/>
          <w:color w:val="001CFB"/>
          <w:sz w:val="20"/>
          <w:szCs w:val="20"/>
        </w:rPr>
        <w:t>ivijo v dru</w:t>
      </w:r>
      <w:r>
        <w:rPr>
          <w:rFonts w:ascii="ArialMT" w:eastAsia="ArialMT" w:cs="ArialMT" w:hint="eastAsia"/>
          <w:color w:val="001CFB"/>
          <w:sz w:val="20"/>
          <w:szCs w:val="20"/>
        </w:rPr>
        <w:t>ž</w:t>
      </w:r>
      <w:r>
        <w:rPr>
          <w:rFonts w:ascii="ArialMT" w:eastAsia="ArialMT" w:cs="ArialMT"/>
          <w:color w:val="001CFB"/>
          <w:sz w:val="20"/>
          <w:szCs w:val="20"/>
        </w:rPr>
        <w:t>bi znanja.(</w:t>
      </w:r>
      <w:r>
        <w:rPr>
          <w:rFonts w:ascii="ArialMT" w:eastAsia="ArialMT" w:cs="ArialMT"/>
          <w:color w:val="001CFB"/>
          <w:sz w:val="12"/>
          <w:szCs w:val="12"/>
        </w:rPr>
        <w:t>1</w:t>
      </w:r>
      <w:r>
        <w:rPr>
          <w:rFonts w:ascii="ArialMT" w:eastAsia="ArialMT" w:cs="ArialMT"/>
          <w:color w:val="001CFB"/>
          <w:sz w:val="20"/>
          <w:szCs w:val="20"/>
        </w:rPr>
        <w:t>)</w:t>
      </w:r>
    </w:p>
    <w:p w:rsidR="00DA6A60" w:rsidRDefault="00DA6A60" w:rsidP="00DA6A60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1CFB"/>
          <w:sz w:val="20"/>
          <w:szCs w:val="20"/>
        </w:rPr>
      </w:pPr>
    </w:p>
    <w:p w:rsidR="00DA6A60" w:rsidRDefault="00DA6A60" w:rsidP="00DA6A60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1CFB"/>
          <w:sz w:val="20"/>
          <w:szCs w:val="20"/>
        </w:rPr>
      </w:pPr>
      <w:r>
        <w:rPr>
          <w:rFonts w:ascii="ArialMT" w:eastAsia="ArialMT" w:cs="ArialMT"/>
          <w:color w:val="001CFB"/>
          <w:sz w:val="20"/>
          <w:szCs w:val="20"/>
        </w:rPr>
        <w:t>Spodbujanje enakosti, socialne kohezije in aktivnega dr</w:t>
      </w:r>
      <w:r>
        <w:rPr>
          <w:rFonts w:ascii="ArialMT" w:eastAsia="ArialMT" w:cs="ArialMT" w:hint="eastAsia"/>
          <w:color w:val="001CFB"/>
          <w:sz w:val="20"/>
          <w:szCs w:val="20"/>
        </w:rPr>
        <w:t>ž</w:t>
      </w:r>
      <w:r>
        <w:rPr>
          <w:rFonts w:ascii="ArialMT" w:eastAsia="ArialMT" w:cs="ArialMT"/>
          <w:color w:val="001CFB"/>
          <w:sz w:val="20"/>
          <w:szCs w:val="20"/>
        </w:rPr>
        <w:t>avljanstva s pomo</w:t>
      </w:r>
      <w:r>
        <w:rPr>
          <w:rFonts w:ascii="ArialMT" w:eastAsia="ArialMT" w:cs="ArialMT" w:hint="eastAsia"/>
          <w:color w:val="001CFB"/>
          <w:sz w:val="20"/>
          <w:szCs w:val="20"/>
        </w:rPr>
        <w:t>č</w:t>
      </w:r>
      <w:r>
        <w:rPr>
          <w:rFonts w:ascii="ArialMT" w:eastAsia="ArialMT" w:cs="ArialMT"/>
          <w:color w:val="001CFB"/>
          <w:sz w:val="20"/>
          <w:szCs w:val="20"/>
        </w:rPr>
        <w:t xml:space="preserve">jo </w:t>
      </w:r>
      <w:r>
        <w:rPr>
          <w:rFonts w:ascii="ArialMT" w:eastAsia="ArialMT" w:cs="ArialMT" w:hint="eastAsia"/>
          <w:color w:val="001CFB"/>
          <w:sz w:val="20"/>
          <w:szCs w:val="20"/>
        </w:rPr>
        <w:t>š</w:t>
      </w:r>
      <w:r>
        <w:rPr>
          <w:rFonts w:ascii="ArialMT" w:eastAsia="ArialMT" w:cs="ArialMT"/>
          <w:color w:val="001CFB"/>
          <w:sz w:val="20"/>
          <w:szCs w:val="20"/>
        </w:rPr>
        <w:t>olskega izobra</w:t>
      </w:r>
      <w:r>
        <w:rPr>
          <w:rFonts w:ascii="ArialMT" w:eastAsia="ArialMT" w:cs="ArialMT" w:hint="eastAsia"/>
          <w:color w:val="001CFB"/>
          <w:sz w:val="20"/>
          <w:szCs w:val="20"/>
        </w:rPr>
        <w:t>ž</w:t>
      </w:r>
      <w:r>
        <w:rPr>
          <w:rFonts w:ascii="ArialMT" w:eastAsia="ArialMT" w:cs="ArialMT"/>
          <w:color w:val="001CFB"/>
          <w:sz w:val="20"/>
          <w:szCs w:val="20"/>
        </w:rPr>
        <w:t>evanja je</w:t>
      </w:r>
    </w:p>
    <w:p w:rsidR="00DA6A60" w:rsidRDefault="00DA6A60" w:rsidP="00DA6A60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1CFB"/>
          <w:sz w:val="20"/>
          <w:szCs w:val="20"/>
        </w:rPr>
      </w:pPr>
      <w:r>
        <w:rPr>
          <w:rFonts w:ascii="ArialMT" w:eastAsia="ArialMT" w:cs="ArialMT"/>
          <w:color w:val="001CFB"/>
          <w:sz w:val="20"/>
          <w:szCs w:val="20"/>
        </w:rPr>
        <w:t>tudi eden glavnih ciljev Strate</w:t>
      </w:r>
      <w:r>
        <w:rPr>
          <w:rFonts w:ascii="ArialMT" w:eastAsia="ArialMT" w:cs="ArialMT" w:hint="eastAsia"/>
          <w:color w:val="001CFB"/>
          <w:sz w:val="20"/>
          <w:szCs w:val="20"/>
        </w:rPr>
        <w:t>š</w:t>
      </w:r>
      <w:r>
        <w:rPr>
          <w:rFonts w:ascii="ArialMT" w:eastAsia="ArialMT" w:cs="ArialMT"/>
          <w:color w:val="001CFB"/>
          <w:sz w:val="20"/>
          <w:szCs w:val="20"/>
        </w:rPr>
        <w:t>kega okvira za evropsko sodelovanje v izobra</w:t>
      </w:r>
      <w:r>
        <w:rPr>
          <w:rFonts w:ascii="ArialMT" w:eastAsia="ArialMT" w:cs="ArialMT" w:hint="eastAsia"/>
          <w:color w:val="001CFB"/>
          <w:sz w:val="20"/>
          <w:szCs w:val="20"/>
        </w:rPr>
        <w:t>ž</w:t>
      </w:r>
      <w:r>
        <w:rPr>
          <w:rFonts w:ascii="ArialMT" w:eastAsia="ArialMT" w:cs="ArialMT"/>
          <w:color w:val="001CFB"/>
          <w:sz w:val="20"/>
          <w:szCs w:val="20"/>
        </w:rPr>
        <w:t>evanju in usposabljanju, ki je podalj</w:t>
      </w:r>
      <w:r>
        <w:rPr>
          <w:rFonts w:ascii="ArialMT" w:eastAsia="ArialMT" w:cs="ArialMT" w:hint="eastAsia"/>
          <w:color w:val="001CFB"/>
          <w:sz w:val="20"/>
          <w:szCs w:val="20"/>
        </w:rPr>
        <w:t>š</w:t>
      </w:r>
      <w:r>
        <w:rPr>
          <w:rFonts w:ascii="ArialMT" w:eastAsia="ArialMT" w:cs="ArialMT"/>
          <w:color w:val="001CFB"/>
          <w:sz w:val="20"/>
          <w:szCs w:val="20"/>
        </w:rPr>
        <w:t>an do leta 2020.(</w:t>
      </w:r>
      <w:r>
        <w:rPr>
          <w:rFonts w:ascii="ArialMT" w:eastAsia="ArialMT" w:cs="ArialMT"/>
          <w:color w:val="001CFB"/>
          <w:sz w:val="12"/>
          <w:szCs w:val="12"/>
        </w:rPr>
        <w:t>2</w:t>
      </w:r>
      <w:r>
        <w:rPr>
          <w:rFonts w:ascii="ArialMT" w:eastAsia="ArialMT" w:cs="ArialMT"/>
          <w:color w:val="001CFB"/>
          <w:sz w:val="20"/>
          <w:szCs w:val="20"/>
        </w:rPr>
        <w:t>) Razvijanje u</w:t>
      </w:r>
      <w:r>
        <w:rPr>
          <w:rFonts w:ascii="ArialMT" w:eastAsia="ArialMT" w:cs="ArialMT" w:hint="eastAsia"/>
          <w:color w:val="001CFB"/>
          <w:sz w:val="20"/>
          <w:szCs w:val="20"/>
        </w:rPr>
        <w:t>č</w:t>
      </w:r>
      <w:r>
        <w:rPr>
          <w:rFonts w:ascii="ArialMT" w:eastAsia="ArialMT" w:cs="ArialMT"/>
          <w:color w:val="001CFB"/>
          <w:sz w:val="20"/>
          <w:szCs w:val="20"/>
        </w:rPr>
        <w:t>inkovitih ukrepov za doseganje tega cilja je velik izziv za odlo</w:t>
      </w:r>
      <w:r>
        <w:rPr>
          <w:rFonts w:ascii="ArialMT" w:eastAsia="ArialMT" w:cs="ArialMT" w:hint="eastAsia"/>
          <w:color w:val="001CFB"/>
          <w:sz w:val="20"/>
          <w:szCs w:val="20"/>
        </w:rPr>
        <w:t>č</w:t>
      </w:r>
      <w:r>
        <w:rPr>
          <w:rFonts w:ascii="ArialMT" w:eastAsia="ArialMT" w:cs="ArialMT"/>
          <w:color w:val="001CFB"/>
          <w:sz w:val="20"/>
          <w:szCs w:val="20"/>
        </w:rPr>
        <w:t>evalce</w:t>
      </w:r>
    </w:p>
    <w:p w:rsidR="00DA6A60" w:rsidRDefault="00DA6A60" w:rsidP="00DA6A60">
      <w:pPr>
        <w:rPr>
          <w:rFonts w:ascii="ArialMT" w:eastAsia="ArialMT" w:cs="ArialMT"/>
          <w:color w:val="001CFB"/>
          <w:sz w:val="20"/>
          <w:szCs w:val="20"/>
        </w:rPr>
      </w:pPr>
      <w:r>
        <w:rPr>
          <w:rFonts w:ascii="ArialMT" w:eastAsia="ArialMT" w:cs="ArialMT"/>
          <w:color w:val="001CFB"/>
          <w:sz w:val="20"/>
          <w:szCs w:val="20"/>
        </w:rPr>
        <w:t>in praktike.</w:t>
      </w:r>
    </w:p>
    <w:p w:rsidR="00DA6A60" w:rsidRDefault="00DA6A60" w:rsidP="00DA6A60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1CFB"/>
          <w:sz w:val="16"/>
          <w:szCs w:val="16"/>
        </w:rPr>
      </w:pPr>
      <w:r>
        <w:rPr>
          <w:rFonts w:ascii="ArialMT" w:eastAsia="ArialMT" w:cs="ArialMT"/>
          <w:color w:val="001CFB"/>
          <w:sz w:val="16"/>
          <w:szCs w:val="16"/>
        </w:rPr>
        <w:t>(</w:t>
      </w:r>
      <w:r>
        <w:rPr>
          <w:rFonts w:ascii="ArialMT" w:eastAsia="ArialMT" w:cs="ArialMT"/>
          <w:color w:val="001CFB"/>
          <w:sz w:val="9"/>
          <w:szCs w:val="9"/>
        </w:rPr>
        <w:t>1</w:t>
      </w:r>
      <w:r>
        <w:rPr>
          <w:rFonts w:ascii="ArialMT" w:eastAsia="ArialMT" w:cs="ArialMT"/>
          <w:color w:val="001CFB"/>
          <w:sz w:val="16"/>
          <w:szCs w:val="16"/>
        </w:rPr>
        <w:t>) Priporo</w:t>
      </w:r>
      <w:r>
        <w:rPr>
          <w:rFonts w:ascii="ArialMT" w:eastAsia="ArialMT" w:cs="ArialMT" w:hint="eastAsia"/>
          <w:color w:val="001CFB"/>
          <w:sz w:val="16"/>
          <w:szCs w:val="16"/>
        </w:rPr>
        <w:t>č</w:t>
      </w:r>
      <w:r>
        <w:rPr>
          <w:rFonts w:ascii="ArialMT" w:eastAsia="ArialMT" w:cs="ArialMT"/>
          <w:color w:val="001CFB"/>
          <w:sz w:val="16"/>
          <w:szCs w:val="16"/>
        </w:rPr>
        <w:t>ilo 2006/962/ES Evropskega parlamenta in Sveta z dne 18. decembra, UL L 394, 30. 12. 2006.</w:t>
      </w:r>
    </w:p>
    <w:p w:rsidR="00DA6A60" w:rsidRDefault="00DA6A60" w:rsidP="00DA6A60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1CFB"/>
          <w:sz w:val="16"/>
          <w:szCs w:val="16"/>
        </w:rPr>
      </w:pPr>
      <w:r>
        <w:rPr>
          <w:rFonts w:ascii="ArialMT" w:eastAsia="ArialMT" w:cs="ArialMT"/>
          <w:color w:val="001CFB"/>
          <w:sz w:val="16"/>
          <w:szCs w:val="16"/>
        </w:rPr>
        <w:t>(</w:t>
      </w:r>
      <w:r>
        <w:rPr>
          <w:rFonts w:ascii="ArialMT" w:eastAsia="ArialMT" w:cs="ArialMT"/>
          <w:color w:val="001CFB"/>
          <w:sz w:val="9"/>
          <w:szCs w:val="9"/>
        </w:rPr>
        <w:t>2</w:t>
      </w:r>
      <w:r>
        <w:rPr>
          <w:rFonts w:ascii="ArialMT" w:eastAsia="ArialMT" w:cs="ArialMT"/>
          <w:color w:val="001CFB"/>
          <w:sz w:val="16"/>
          <w:szCs w:val="16"/>
        </w:rPr>
        <w:t>) Sklepi Sveta z dne 12. maja 2009 o Strate</w:t>
      </w:r>
      <w:r>
        <w:rPr>
          <w:rFonts w:ascii="ArialMT" w:eastAsia="ArialMT" w:cs="ArialMT" w:hint="eastAsia"/>
          <w:color w:val="001CFB"/>
          <w:sz w:val="16"/>
          <w:szCs w:val="16"/>
        </w:rPr>
        <w:t>š</w:t>
      </w:r>
      <w:r>
        <w:rPr>
          <w:rFonts w:ascii="ArialMT" w:eastAsia="ArialMT" w:cs="ArialMT"/>
          <w:color w:val="001CFB"/>
          <w:sz w:val="16"/>
          <w:szCs w:val="16"/>
        </w:rPr>
        <w:t>kem okviru za evropsko sodelovanje pri izobra</w:t>
      </w:r>
      <w:r>
        <w:rPr>
          <w:rFonts w:ascii="ArialMT" w:eastAsia="ArialMT" w:cs="ArialMT" w:hint="eastAsia"/>
          <w:color w:val="001CFB"/>
          <w:sz w:val="16"/>
          <w:szCs w:val="16"/>
        </w:rPr>
        <w:t>ž</w:t>
      </w:r>
      <w:r>
        <w:rPr>
          <w:rFonts w:ascii="ArialMT" w:eastAsia="ArialMT" w:cs="ArialMT"/>
          <w:color w:val="001CFB"/>
          <w:sz w:val="16"/>
          <w:szCs w:val="16"/>
        </w:rPr>
        <w:t>evanju in strokovnem</w:t>
      </w:r>
    </w:p>
    <w:p w:rsidR="00DA6A60" w:rsidRPr="00DA6A60" w:rsidRDefault="00DA6A60" w:rsidP="00DA6A60">
      <w:r>
        <w:rPr>
          <w:rFonts w:ascii="ArialMT" w:eastAsia="ArialMT" w:cs="ArialMT"/>
          <w:color w:val="001CFB"/>
          <w:sz w:val="16"/>
          <w:szCs w:val="16"/>
        </w:rPr>
        <w:t>usposabljanju (</w:t>
      </w:r>
      <w:r>
        <w:rPr>
          <w:rFonts w:ascii="ArialMT" w:eastAsia="ArialMT" w:cs="ArialMT" w:hint="eastAsia"/>
          <w:color w:val="001CFB"/>
          <w:sz w:val="16"/>
          <w:szCs w:val="16"/>
        </w:rPr>
        <w:t>„</w:t>
      </w:r>
      <w:r>
        <w:rPr>
          <w:rFonts w:ascii="ArialMT" w:eastAsia="ArialMT" w:cs="ArialMT"/>
          <w:color w:val="001CFB"/>
          <w:sz w:val="16"/>
          <w:szCs w:val="16"/>
        </w:rPr>
        <w:t>ET 2020</w:t>
      </w:r>
      <w:r>
        <w:rPr>
          <w:rFonts w:ascii="ArialMT" w:eastAsia="ArialMT" w:cs="ArialMT" w:hint="eastAsia"/>
          <w:color w:val="001CFB"/>
          <w:sz w:val="16"/>
          <w:szCs w:val="16"/>
        </w:rPr>
        <w:t>“</w:t>
      </w:r>
      <w:r>
        <w:rPr>
          <w:rFonts w:ascii="ArialMT" w:eastAsia="ArialMT" w:cs="ArialMT"/>
          <w:color w:val="001CFB"/>
          <w:sz w:val="16"/>
          <w:szCs w:val="16"/>
        </w:rPr>
        <w:t>), C 119, 28. 5. 2009</w:t>
      </w:r>
      <w:bookmarkStart w:id="0" w:name="_GoBack"/>
      <w:bookmarkEnd w:id="0"/>
    </w:p>
    <w:p w:rsidR="001B0BC7" w:rsidRPr="001B0BC7" w:rsidRDefault="001B0BC7" w:rsidP="001B0BC7">
      <w:pPr>
        <w:pStyle w:val="Navadensplet"/>
        <w:jc w:val="both"/>
        <w:rPr>
          <w:rFonts w:asciiTheme="minorHAnsi" w:hAnsiTheme="minorHAnsi"/>
          <w:sz w:val="22"/>
          <w:szCs w:val="22"/>
        </w:rPr>
      </w:pPr>
      <w:r w:rsidRPr="001B0BC7">
        <w:rPr>
          <w:rFonts w:asciiTheme="minorHAnsi" w:hAnsiTheme="minorHAnsi"/>
          <w:sz w:val="22"/>
          <w:szCs w:val="22"/>
        </w:rPr>
        <w:t xml:space="preserve">Več informacij najdete </w:t>
      </w:r>
      <w:hyperlink r:id="rId7" w:history="1">
        <w:r w:rsidRPr="001B0BC7">
          <w:rPr>
            <w:rStyle w:val="Hiperpovezava"/>
            <w:rFonts w:asciiTheme="minorHAnsi" w:hAnsiTheme="minorHAnsi"/>
            <w:sz w:val="22"/>
            <w:szCs w:val="22"/>
          </w:rPr>
          <w:t>tukaj</w:t>
        </w:r>
      </w:hyperlink>
      <w:r w:rsidRPr="001B0BC7">
        <w:rPr>
          <w:rFonts w:asciiTheme="minorHAnsi" w:hAnsiTheme="minorHAnsi"/>
          <w:sz w:val="22"/>
          <w:szCs w:val="22"/>
        </w:rPr>
        <w:t>.</w:t>
      </w:r>
    </w:p>
    <w:p w:rsidR="001B0BC7" w:rsidRPr="001B0BC7" w:rsidRDefault="001B0BC7" w:rsidP="001B0BC7">
      <w:pPr>
        <w:pStyle w:val="Navadensplet"/>
        <w:rPr>
          <w:rFonts w:asciiTheme="minorHAnsi" w:hAnsiTheme="minorHAnsi"/>
          <w:sz w:val="22"/>
          <w:szCs w:val="22"/>
        </w:rPr>
      </w:pPr>
      <w:r w:rsidRPr="001B0BC7">
        <w:rPr>
          <w:rFonts w:asciiTheme="minorHAnsi" w:hAnsiTheme="minorHAnsi"/>
          <w:sz w:val="22"/>
          <w:szCs w:val="22"/>
        </w:rPr>
        <w:t xml:space="preserve">Vir: </w:t>
      </w:r>
      <w:r w:rsidRPr="001B0BC7">
        <w:rPr>
          <w:rStyle w:val="published"/>
          <w:rFonts w:asciiTheme="minorHAnsi" w:hAnsiTheme="minorHAnsi"/>
          <w:b/>
          <w:bCs/>
          <w:sz w:val="22"/>
          <w:szCs w:val="22"/>
        </w:rPr>
        <w:t>Evropska komisija</w:t>
      </w:r>
    </w:p>
    <w:p w:rsidR="001B0BC7" w:rsidRPr="001B0BC7" w:rsidRDefault="001B0BC7" w:rsidP="001B0BC7">
      <w:pPr>
        <w:pStyle w:val="Navadensplet"/>
        <w:rPr>
          <w:rFonts w:asciiTheme="minorHAnsi" w:hAnsiTheme="minorHAnsi"/>
          <w:sz w:val="22"/>
          <w:szCs w:val="22"/>
        </w:rPr>
      </w:pPr>
    </w:p>
    <w:p w:rsidR="008F2777" w:rsidRDefault="008F2777"/>
    <w:sectPr w:rsidR="008F2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C7"/>
    <w:rsid w:val="001B0BC7"/>
    <w:rsid w:val="008F2777"/>
    <w:rsid w:val="00DA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1B0B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B0BC7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1B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ublished">
    <w:name w:val="published"/>
    <w:basedOn w:val="Privzetapisavaodstavka"/>
    <w:rsid w:val="001B0BC7"/>
  </w:style>
  <w:style w:type="character" w:styleId="SledenaHiperpovezava">
    <w:name w:val="FollowedHyperlink"/>
    <w:basedOn w:val="Privzetapisavaodstavka"/>
    <w:uiPriority w:val="99"/>
    <w:semiHidden/>
    <w:unhideWhenUsed/>
    <w:rsid w:val="001B0BC7"/>
    <w:rPr>
      <w:color w:val="800080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B0BC7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Krepko">
    <w:name w:val="Strong"/>
    <w:basedOn w:val="Privzetapisavaodstavka"/>
    <w:uiPriority w:val="22"/>
    <w:qFormat/>
    <w:rsid w:val="001B0B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1B0B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B0BC7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1B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ublished">
    <w:name w:val="published"/>
    <w:basedOn w:val="Privzetapisavaodstavka"/>
    <w:rsid w:val="001B0BC7"/>
  </w:style>
  <w:style w:type="character" w:styleId="SledenaHiperpovezava">
    <w:name w:val="FollowedHyperlink"/>
    <w:basedOn w:val="Privzetapisavaodstavka"/>
    <w:uiPriority w:val="99"/>
    <w:semiHidden/>
    <w:unhideWhenUsed/>
    <w:rsid w:val="001B0BC7"/>
    <w:rPr>
      <w:color w:val="800080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B0BC7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Krepko">
    <w:name w:val="Strong"/>
    <w:basedOn w:val="Privzetapisavaodstavka"/>
    <w:uiPriority w:val="22"/>
    <w:qFormat/>
    <w:rsid w:val="001B0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3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1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8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06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.europa.eu/education/policy/school/competences_s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c.europa.eu/slovenia/home_sl" TargetMode="External"/><Relationship Id="rId5" Type="http://schemas.openxmlformats.org/officeDocument/2006/relationships/hyperlink" Target="https://ec.europa.eu/education/consultations/lifelong-learning-key-competences-2017_s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2017-03-08T08:56:00Z</dcterms:created>
  <dcterms:modified xsi:type="dcterms:W3CDTF">2017-03-15T10:53:00Z</dcterms:modified>
</cp:coreProperties>
</file>