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30" w:rsidRDefault="00190330" w:rsidP="00190330">
      <w:pPr>
        <w:shd w:val="clear" w:color="auto" w:fill="D9D9D9"/>
        <w:jc w:val="both"/>
        <w:rPr>
          <w:rFonts w:cs="Consolas"/>
          <w:bCs/>
          <w:sz w:val="20"/>
          <w:szCs w:val="20"/>
        </w:rPr>
      </w:pPr>
      <w:bookmarkStart w:id="0" w:name="_GoBack"/>
      <w:bookmarkEnd w:id="0"/>
      <w:r>
        <w:rPr>
          <w:rFonts w:cs="Consolas"/>
          <w:bCs/>
          <w:sz w:val="20"/>
          <w:szCs w:val="20"/>
        </w:rPr>
        <w:t>Učiti se živeti skupaj,  pomeni spoštovati in spoštovati pomeni, da duhovne in razumske nagibe drugih jemljemo resno. Učiti se živeti skupaj ni dejavnost, ki bi jo lahko ločevali od drugih dejavnosti na šoli.</w:t>
      </w:r>
    </w:p>
    <w:p w:rsidR="00190330" w:rsidRDefault="00190330" w:rsidP="00190330">
      <w:pPr>
        <w:shd w:val="clear" w:color="auto" w:fill="D9D9D9"/>
        <w:jc w:val="both"/>
        <w:rPr>
          <w:rFonts w:cs="Consolas"/>
          <w:bCs/>
          <w:i/>
          <w:iCs/>
          <w:sz w:val="20"/>
          <w:szCs w:val="20"/>
        </w:rPr>
      </w:pPr>
      <w:r>
        <w:rPr>
          <w:rFonts w:cs="Consolas"/>
          <w:bCs/>
          <w:sz w:val="20"/>
          <w:szCs w:val="20"/>
        </w:rPr>
        <w:t xml:space="preserve"> Delorjeva komisija</w:t>
      </w:r>
      <w:r>
        <w:rPr>
          <w:rStyle w:val="Sprotnaopomba-sklic"/>
          <w:rFonts w:cs="Consolas"/>
          <w:bCs/>
        </w:rPr>
        <w:footnoteReference w:customMarkFollows="1" w:id="1"/>
        <w:t>[1]</w:t>
      </w:r>
      <w:r>
        <w:rPr>
          <w:rFonts w:cs="Consolas"/>
          <w:bCs/>
          <w:sz w:val="20"/>
          <w:szCs w:val="20"/>
        </w:rPr>
        <w:t xml:space="preserve">  je v poročilu za Unesco navedla štiri temeljne stebre na katerih naj bi temeljilo izobraževanje v 21. stoletju: </w:t>
      </w:r>
      <w:r>
        <w:rPr>
          <w:rFonts w:cs="Consolas"/>
          <w:bCs/>
          <w:i/>
          <w:iCs/>
          <w:sz w:val="20"/>
          <w:szCs w:val="20"/>
        </w:rPr>
        <w:t>učiti se znati, učiti se delati, učiti se živeti skupaj in učiti se biti.</w:t>
      </w:r>
    </w:p>
    <w:p w:rsidR="00190330" w:rsidRDefault="00190330" w:rsidP="00190330">
      <w:pPr>
        <w:shd w:val="clear" w:color="auto" w:fill="D9D9D9"/>
        <w:jc w:val="both"/>
        <w:rPr>
          <w:rFonts w:cs="Consolas"/>
          <w:bCs/>
          <w:sz w:val="20"/>
          <w:szCs w:val="20"/>
        </w:rPr>
      </w:pPr>
      <w:r>
        <w:rPr>
          <w:rStyle w:val="Sprotnaopomba-sklic"/>
          <w:rFonts w:cs="Consolas"/>
        </w:rPr>
        <w:t>[1]</w:t>
      </w:r>
      <w:r>
        <w:rPr>
          <w:rFonts w:cs="Consolas"/>
          <w:sz w:val="20"/>
          <w:szCs w:val="20"/>
        </w:rPr>
        <w:t xml:space="preserve"> Delors, J. et al. (1996) </w:t>
      </w:r>
      <w:r>
        <w:rPr>
          <w:rFonts w:cs="Consolas"/>
          <w:i/>
          <w:iCs/>
          <w:sz w:val="20"/>
          <w:szCs w:val="20"/>
        </w:rPr>
        <w:t>Learning: the Treasure within. Report to UNESCO of the International Commission on Education for the 21</w:t>
      </w:r>
      <w:r>
        <w:rPr>
          <w:rFonts w:cs="Consolas"/>
          <w:i/>
          <w:iCs/>
          <w:sz w:val="20"/>
          <w:szCs w:val="20"/>
          <w:vertAlign w:val="superscript"/>
        </w:rPr>
        <w:t>st</w:t>
      </w:r>
      <w:r>
        <w:rPr>
          <w:rFonts w:cs="Consolas"/>
          <w:i/>
          <w:iCs/>
          <w:sz w:val="20"/>
          <w:szCs w:val="20"/>
        </w:rPr>
        <w:t xml:space="preserve">  Century. </w:t>
      </w:r>
      <w:r>
        <w:rPr>
          <w:rFonts w:cs="Consolas"/>
          <w:sz w:val="20"/>
          <w:szCs w:val="20"/>
        </w:rPr>
        <w:t>Paris: UNESCO.</w:t>
      </w:r>
    </w:p>
    <w:p w:rsidR="00B43D13" w:rsidRPr="00157391" w:rsidRDefault="00B43D13" w:rsidP="00B43D13">
      <w:pPr>
        <w:rPr>
          <w:rFonts w:ascii="Book Antiqua" w:hAnsi="Book Antiqua" w:cs="Consolas"/>
        </w:rPr>
      </w:pPr>
      <w:r w:rsidRPr="00157391">
        <w:rPr>
          <w:rFonts w:ascii="Book Antiqua" w:hAnsi="Book Antiqua" w:cs="Consolas"/>
        </w:rPr>
        <w:t xml:space="preserve">Vzgoja </w:t>
      </w:r>
      <w:r w:rsidRPr="00157391">
        <w:rPr>
          <w:rFonts w:ascii="Book Antiqua" w:hAnsi="Book Antiqua" w:cs="Consolas"/>
          <w:b/>
        </w:rPr>
        <w:t>za participacijo*</w:t>
      </w:r>
      <w:r w:rsidRPr="00157391">
        <w:rPr>
          <w:rFonts w:ascii="Book Antiqua" w:hAnsi="Book Antiqua" w:cs="Consolas"/>
        </w:rPr>
        <w:t>, presega kognitivno učenje in vključuje družbeni in čustveni razvoj vseh, udeleženih v učnem in poučevalnem procesu</w:t>
      </w:r>
      <w:r w:rsidR="00157391" w:rsidRPr="00157391">
        <w:rPr>
          <w:rFonts w:ascii="Book Antiqua" w:hAnsi="Book Antiqua" w:cs="Consolas"/>
        </w:rPr>
        <w:t>.</w:t>
      </w:r>
    </w:p>
    <w:p w:rsidR="00190330" w:rsidRPr="00157391" w:rsidRDefault="00190330" w:rsidP="00190330">
      <w:pPr>
        <w:shd w:val="clear" w:color="auto" w:fill="FFFFFF"/>
        <w:spacing w:before="100" w:beforeAutospacing="1" w:after="100" w:afterAutospacing="1" w:line="240" w:lineRule="auto"/>
        <w:rPr>
          <w:rFonts w:ascii="Book Antiqua" w:eastAsia="Times New Roman" w:hAnsi="Book Antiqua" w:cs="Times New Roman"/>
          <w:color w:val="4A4A4A"/>
          <w:lang w:eastAsia="sl-SI"/>
        </w:rPr>
      </w:pPr>
      <w:r w:rsidRPr="00157391">
        <w:rPr>
          <w:rFonts w:ascii="Book Antiqua" w:hAnsi="Book Antiqua"/>
        </w:rPr>
        <w:t xml:space="preserve">Ob prepoznavanju različnih potencialov učencev je  pomembno  </w:t>
      </w:r>
      <w:r w:rsidRPr="00157391">
        <w:rPr>
          <w:rFonts w:ascii="Book Antiqua" w:hAnsi="Book Antiqua"/>
          <w:b/>
        </w:rPr>
        <w:t>povečati participacijo*</w:t>
      </w:r>
      <w:r w:rsidRPr="00157391">
        <w:rPr>
          <w:rFonts w:ascii="Book Antiqua" w:hAnsi="Book Antiqua"/>
        </w:rPr>
        <w:t xml:space="preserve"> pri izvajanju različnih dejavnosti. </w:t>
      </w:r>
      <w:r w:rsidRPr="00157391">
        <w:rPr>
          <w:rFonts w:ascii="Book Antiqua" w:hAnsi="Book Antiqua" w:cs="Consolas"/>
        </w:rPr>
        <w:t xml:space="preserve">Namen tega je razvijanje sodelovalne kulture. </w:t>
      </w:r>
      <w:r w:rsidRPr="00157391">
        <w:rPr>
          <w:rFonts w:ascii="Book Antiqua" w:eastAsia="Times New Roman" w:hAnsi="Book Antiqua" w:cs="Times New Roman"/>
          <w:color w:val="4A4A4A"/>
          <w:lang w:eastAsia="sl-SI"/>
        </w:rPr>
        <w:t>Prispeva k uveljavljanju socializacijskih ciljev, ki spodbujajo pridobivanje znanj in sposobnosti za aktivno državljanstvo ter prispeva k uveljavljanju sodelovalne kulture, razvoju sposobnosti učencev za odločanje in sprejemanje odgovornosti.</w:t>
      </w:r>
    </w:p>
    <w:p w:rsidR="00B43D13" w:rsidRPr="00157391" w:rsidRDefault="00B43D13" w:rsidP="00B43D13">
      <w:pPr>
        <w:rPr>
          <w:rFonts w:ascii="Book Antiqua" w:eastAsia="Times New Roman" w:hAnsi="Book Antiqua" w:cs="Helvetica"/>
          <w:iCs/>
        </w:rPr>
      </w:pPr>
      <w:r w:rsidRPr="00157391">
        <w:rPr>
          <w:rFonts w:ascii="Book Antiqua" w:hAnsi="Book Antiqua" w:cs="Arial"/>
        </w:rPr>
        <w:t>Kompetenčen  pristop in  več perspektivnost kot didaktično načelo podpirata iskanje</w:t>
      </w:r>
      <w:r w:rsidRPr="00157391">
        <w:rPr>
          <w:rFonts w:ascii="Book Antiqua" w:eastAsia="Times New Roman" w:hAnsi="Book Antiqua" w:cs="Helvetica"/>
          <w:iCs/>
        </w:rPr>
        <w:t xml:space="preserve"> </w:t>
      </w:r>
      <w:r w:rsidRPr="00157391">
        <w:rPr>
          <w:rFonts w:ascii="Book Antiqua" w:hAnsi="Book Antiqua" w:cs="Arial"/>
          <w:bCs/>
        </w:rPr>
        <w:t xml:space="preserve"> in  omogočata </w:t>
      </w:r>
      <w:r w:rsidRPr="00157391">
        <w:rPr>
          <w:rFonts w:ascii="Book Antiqua" w:hAnsi="Book Antiqua" w:cs="Consolas"/>
        </w:rPr>
        <w:t xml:space="preserve">razvoj  pristopov, ki spodbuja sodelovanje in soudeležbo, </w:t>
      </w:r>
      <w:r w:rsidRPr="00157391">
        <w:rPr>
          <w:rFonts w:ascii="Book Antiqua" w:eastAsia="BatangChe" w:hAnsi="Book Antiqua" w:cs="Consolas"/>
          <w:color w:val="000000"/>
        </w:rPr>
        <w:t>skupnostno, socialno  in medkulturno učenje in delovanje, družbeno in državljansko participacijo, odgovornost, angažiranost, socialno in etnično občutljivost in solidarnost.</w:t>
      </w:r>
    </w:p>
    <w:p w:rsidR="00FD493C" w:rsidRPr="00157391" w:rsidRDefault="00FD493C" w:rsidP="00FD493C">
      <w:pPr>
        <w:autoSpaceDE w:val="0"/>
        <w:autoSpaceDN w:val="0"/>
        <w:adjustRightInd w:val="0"/>
        <w:spacing w:after="0" w:line="240" w:lineRule="auto"/>
        <w:rPr>
          <w:rFonts w:ascii="Book Antiqua" w:eastAsia="ArialMT" w:hAnsi="Book Antiqua" w:cs="ArialMT"/>
          <w:b/>
          <w:color w:val="000000" w:themeColor="text1"/>
        </w:rPr>
      </w:pPr>
      <w:r w:rsidRPr="00157391">
        <w:rPr>
          <w:rFonts w:ascii="Book Antiqua" w:eastAsia="ArialMT" w:hAnsi="Book Antiqua" w:cs="ArialMT"/>
          <w:b/>
          <w:color w:val="000000" w:themeColor="text1"/>
        </w:rPr>
        <w:t>Socialne in državljanske kompetence so zato med najpomembnejšimi</w:t>
      </w:r>
    </w:p>
    <w:p w:rsidR="00FD493C" w:rsidRPr="00157391" w:rsidRDefault="00FD493C" w:rsidP="00FD493C">
      <w:pPr>
        <w:autoSpaceDE w:val="0"/>
        <w:autoSpaceDN w:val="0"/>
        <w:adjustRightInd w:val="0"/>
        <w:spacing w:after="0" w:line="240" w:lineRule="auto"/>
        <w:rPr>
          <w:rFonts w:ascii="Book Antiqua" w:eastAsia="ArialMT" w:hAnsi="Book Antiqua" w:cs="ArialMT"/>
          <w:color w:val="000000" w:themeColor="text1"/>
        </w:rPr>
      </w:pPr>
      <w:r w:rsidRPr="00157391">
        <w:rPr>
          <w:rFonts w:ascii="Book Antiqua" w:eastAsia="ArialMT" w:hAnsi="Book Antiqua" w:cs="ArialMT"/>
          <w:b/>
          <w:color w:val="000000" w:themeColor="text1"/>
        </w:rPr>
        <w:t>vidiki evropskega sodelovanja na področju izobraževanja;</w:t>
      </w:r>
      <w:r w:rsidRPr="00157391">
        <w:rPr>
          <w:rFonts w:ascii="Book Antiqua" w:eastAsia="ArialMT" w:hAnsi="Book Antiqua" w:cs="ArialMT"/>
          <w:color w:val="000000" w:themeColor="text1"/>
        </w:rPr>
        <w:t xml:space="preserve"> spadajo med</w:t>
      </w:r>
    </w:p>
    <w:p w:rsidR="00FD493C" w:rsidRPr="00157391" w:rsidRDefault="00FD493C" w:rsidP="00FD493C">
      <w:pPr>
        <w:autoSpaceDE w:val="0"/>
        <w:autoSpaceDN w:val="0"/>
        <w:adjustRightInd w:val="0"/>
        <w:spacing w:after="0" w:line="240" w:lineRule="auto"/>
        <w:rPr>
          <w:rFonts w:ascii="Book Antiqua" w:eastAsia="ArialMT" w:hAnsi="Book Antiqua" w:cs="ArialMT"/>
          <w:color w:val="000000" w:themeColor="text1"/>
        </w:rPr>
      </w:pPr>
      <w:r w:rsidRPr="00157391">
        <w:rPr>
          <w:rFonts w:ascii="Book Antiqua" w:eastAsia="ArialMT" w:hAnsi="Book Antiqua" w:cs="ArialMT"/>
          <w:color w:val="000000" w:themeColor="text1"/>
        </w:rPr>
        <w:t>osem ključnih kompetenc, ki sta jih Svet in Evropski parlament leta 2006 določila kot bistvene za</w:t>
      </w:r>
      <w:r w:rsidR="00B43D13" w:rsidRPr="00157391">
        <w:rPr>
          <w:rFonts w:ascii="Book Antiqua" w:eastAsia="ArialMT" w:hAnsi="Book Antiqua" w:cs="ArialMT"/>
          <w:color w:val="000000" w:themeColor="text1"/>
        </w:rPr>
        <w:t xml:space="preserve"> </w:t>
      </w:r>
      <w:r w:rsidRPr="00157391">
        <w:rPr>
          <w:rFonts w:ascii="Book Antiqua" w:eastAsia="ArialMT" w:hAnsi="Book Antiqua" w:cs="ArialMT"/>
          <w:color w:val="000000" w:themeColor="text1"/>
        </w:rPr>
        <w:t>državljane, ki živijo v družbi znanja.(1)</w:t>
      </w:r>
    </w:p>
    <w:p w:rsidR="00570955" w:rsidRPr="00157391" w:rsidRDefault="00FD493C" w:rsidP="00B43D13">
      <w:pPr>
        <w:autoSpaceDE w:val="0"/>
        <w:autoSpaceDN w:val="0"/>
        <w:adjustRightInd w:val="0"/>
        <w:spacing w:after="0" w:line="240" w:lineRule="auto"/>
        <w:rPr>
          <w:rFonts w:ascii="Book Antiqua" w:eastAsia="ArialMT" w:hAnsi="Book Antiqua" w:cs="ArialMT"/>
          <w:color w:val="000000" w:themeColor="text1"/>
        </w:rPr>
      </w:pPr>
      <w:r w:rsidRPr="00157391">
        <w:rPr>
          <w:rFonts w:ascii="Book Antiqua" w:eastAsia="ArialMT" w:hAnsi="Book Antiqua" w:cs="ArialMT"/>
          <w:color w:val="000000" w:themeColor="text1"/>
        </w:rPr>
        <w:t>Spodbujanje enakosti, socialne kohezije in aktivnega državljanstva s pomočjo šolskega izobraževanja je</w:t>
      </w:r>
      <w:r w:rsidR="00B43D13" w:rsidRPr="00157391">
        <w:rPr>
          <w:rFonts w:ascii="Book Antiqua" w:eastAsia="ArialMT" w:hAnsi="Book Antiqua" w:cs="ArialMT"/>
          <w:color w:val="000000" w:themeColor="text1"/>
        </w:rPr>
        <w:t xml:space="preserve"> </w:t>
      </w:r>
      <w:r w:rsidRPr="00157391">
        <w:rPr>
          <w:rFonts w:ascii="Book Antiqua" w:eastAsia="ArialMT" w:hAnsi="Book Antiqua" w:cs="ArialMT"/>
          <w:color w:val="000000" w:themeColor="text1"/>
        </w:rPr>
        <w:t>tudi eden glavnih ciljev Strateškega okvira za evropsko sodelovanje v izobraževanju in usposabljanju, ki je podaljšan do leta 2020.(2) Razvijanje učinkovitih ukrepov za doseganje tega cilja je velik izziv za odločevalce</w:t>
      </w:r>
      <w:r w:rsidR="00B43D13" w:rsidRPr="00157391">
        <w:rPr>
          <w:rFonts w:ascii="Book Antiqua" w:eastAsia="ArialMT" w:hAnsi="Book Antiqua" w:cs="ArialMT"/>
          <w:color w:val="000000" w:themeColor="text1"/>
        </w:rPr>
        <w:t xml:space="preserve"> </w:t>
      </w:r>
      <w:r w:rsidRPr="00157391">
        <w:rPr>
          <w:rFonts w:ascii="Book Antiqua" w:eastAsia="ArialMT" w:hAnsi="Book Antiqua" w:cs="ArialMT"/>
          <w:color w:val="000000" w:themeColor="text1"/>
        </w:rPr>
        <w:t>in praktike.</w:t>
      </w:r>
    </w:p>
    <w:p w:rsidR="00FD493C" w:rsidRPr="00157391" w:rsidRDefault="00FD493C" w:rsidP="00FD493C">
      <w:pPr>
        <w:autoSpaceDE w:val="0"/>
        <w:autoSpaceDN w:val="0"/>
        <w:adjustRightInd w:val="0"/>
        <w:spacing w:after="0" w:line="240" w:lineRule="auto"/>
        <w:rPr>
          <w:rFonts w:ascii="Book Antiqua" w:eastAsia="ArialMT" w:hAnsi="Book Antiqua" w:cs="ArialMT"/>
          <w:color w:val="000000" w:themeColor="text1"/>
        </w:rPr>
      </w:pPr>
      <w:r w:rsidRPr="00157391">
        <w:rPr>
          <w:rFonts w:ascii="Book Antiqua" w:eastAsia="ArialMT" w:hAnsi="Book Antiqua" w:cs="ArialMT"/>
          <w:color w:val="000000" w:themeColor="text1"/>
        </w:rPr>
        <w:t>(1) Priporočilo 2006/962/ES Evropskega parlamenta in Sveta z dne 18. decembra, UL L 394, 30. 12. 2006.</w:t>
      </w:r>
    </w:p>
    <w:p w:rsidR="00FD493C" w:rsidRPr="00157391" w:rsidRDefault="00FD493C" w:rsidP="00FD493C">
      <w:pPr>
        <w:autoSpaceDE w:val="0"/>
        <w:autoSpaceDN w:val="0"/>
        <w:adjustRightInd w:val="0"/>
        <w:spacing w:after="0" w:line="240" w:lineRule="auto"/>
        <w:rPr>
          <w:rFonts w:ascii="Book Antiqua" w:eastAsia="ArialMT" w:hAnsi="Book Antiqua" w:cs="ArialMT"/>
          <w:color w:val="000000" w:themeColor="text1"/>
        </w:rPr>
      </w:pPr>
      <w:r w:rsidRPr="00157391">
        <w:rPr>
          <w:rFonts w:ascii="Book Antiqua" w:eastAsia="ArialMT" w:hAnsi="Book Antiqua" w:cs="ArialMT"/>
          <w:color w:val="000000" w:themeColor="text1"/>
        </w:rPr>
        <w:t>(2) Sklepi Sveta z dne 12. maja 2009 o Strateškem okviru za evropsko sodelovanje pri izobraževanju in strokovnem</w:t>
      </w:r>
    </w:p>
    <w:p w:rsidR="00FD493C" w:rsidRPr="00157391" w:rsidRDefault="00FD493C" w:rsidP="00FD493C">
      <w:pPr>
        <w:rPr>
          <w:rFonts w:ascii="Book Antiqua" w:eastAsia="ArialMT" w:hAnsi="Book Antiqua" w:cs="ArialMT"/>
          <w:color w:val="000000" w:themeColor="text1"/>
        </w:rPr>
      </w:pPr>
      <w:r w:rsidRPr="00157391">
        <w:rPr>
          <w:rFonts w:ascii="Book Antiqua" w:eastAsia="ArialMT" w:hAnsi="Book Antiqua" w:cs="ArialMT"/>
          <w:color w:val="000000" w:themeColor="text1"/>
        </w:rPr>
        <w:t>usposabljanju („ET 2020“), C 119, 28. 5. 2009</w:t>
      </w:r>
    </w:p>
    <w:p w:rsidR="00190330" w:rsidRPr="00157391" w:rsidRDefault="00190330" w:rsidP="00190330">
      <w:pPr>
        <w:spacing w:after="120" w:line="240" w:lineRule="atLeast"/>
        <w:jc w:val="both"/>
        <w:rPr>
          <w:rFonts w:ascii="Book Antiqua" w:hAnsi="Book Antiqua"/>
        </w:rPr>
      </w:pPr>
      <w:r w:rsidRPr="00157391">
        <w:rPr>
          <w:rFonts w:ascii="Book Antiqua" w:hAnsi="Book Antiqua"/>
        </w:rPr>
        <w:t xml:space="preserve">Pridobivanje kompetenc posameznikom omogoča, da: </w:t>
      </w:r>
    </w:p>
    <w:p w:rsidR="00190330" w:rsidRPr="00157391" w:rsidRDefault="00190330" w:rsidP="00190330">
      <w:pPr>
        <w:pStyle w:val="Odstavekseznama"/>
        <w:numPr>
          <w:ilvl w:val="0"/>
          <w:numId w:val="1"/>
        </w:numPr>
        <w:spacing w:after="120" w:line="240" w:lineRule="atLeast"/>
        <w:jc w:val="both"/>
        <w:rPr>
          <w:rFonts w:ascii="Book Antiqua" w:hAnsi="Book Antiqua"/>
        </w:rPr>
      </w:pPr>
      <w:r w:rsidRPr="00157391">
        <w:rPr>
          <w:rFonts w:ascii="Book Antiqua" w:hAnsi="Book Antiqua"/>
        </w:rPr>
        <w:t xml:space="preserve">delujejo demokratično, </w:t>
      </w:r>
    </w:p>
    <w:p w:rsidR="00190330" w:rsidRPr="00157391" w:rsidRDefault="00190330" w:rsidP="00190330">
      <w:pPr>
        <w:pStyle w:val="Odstavekseznama"/>
        <w:numPr>
          <w:ilvl w:val="0"/>
          <w:numId w:val="1"/>
        </w:numPr>
        <w:spacing w:after="120" w:line="240" w:lineRule="atLeast"/>
        <w:jc w:val="both"/>
        <w:rPr>
          <w:rFonts w:ascii="Book Antiqua" w:hAnsi="Book Antiqua"/>
        </w:rPr>
      </w:pPr>
      <w:r w:rsidRPr="00157391">
        <w:rPr>
          <w:rFonts w:ascii="Book Antiqua" w:hAnsi="Book Antiqua"/>
        </w:rPr>
        <w:t xml:space="preserve">delujejo družbeno odgovorno, </w:t>
      </w:r>
    </w:p>
    <w:p w:rsidR="00190330" w:rsidRPr="00157391" w:rsidRDefault="00190330" w:rsidP="00190330">
      <w:pPr>
        <w:pStyle w:val="Odstavekseznama"/>
        <w:numPr>
          <w:ilvl w:val="0"/>
          <w:numId w:val="1"/>
        </w:numPr>
        <w:spacing w:after="120" w:line="240" w:lineRule="atLeast"/>
        <w:jc w:val="both"/>
        <w:rPr>
          <w:rFonts w:ascii="Book Antiqua" w:hAnsi="Book Antiqua"/>
        </w:rPr>
      </w:pPr>
      <w:r w:rsidRPr="00157391">
        <w:rPr>
          <w:rFonts w:ascii="Book Antiqua" w:hAnsi="Book Antiqua"/>
        </w:rPr>
        <w:t xml:space="preserve">so zmožni učinkovite in konstruktivne interakcije z drugimi ter </w:t>
      </w:r>
    </w:p>
    <w:p w:rsidR="00190330" w:rsidRPr="00157391" w:rsidRDefault="00190330" w:rsidP="00190330">
      <w:pPr>
        <w:pStyle w:val="Odstavekseznama"/>
        <w:numPr>
          <w:ilvl w:val="0"/>
          <w:numId w:val="1"/>
        </w:numPr>
        <w:spacing w:after="120" w:line="240" w:lineRule="atLeast"/>
        <w:jc w:val="both"/>
        <w:rPr>
          <w:rFonts w:ascii="Book Antiqua" w:hAnsi="Book Antiqua"/>
        </w:rPr>
      </w:pPr>
      <w:r w:rsidRPr="00157391">
        <w:rPr>
          <w:rFonts w:ascii="Book Antiqua" w:hAnsi="Book Antiqua"/>
        </w:rPr>
        <w:t xml:space="preserve">so razvili kritično mišljenje. </w:t>
      </w:r>
    </w:p>
    <w:p w:rsidR="00190330" w:rsidRPr="00157391" w:rsidRDefault="00190330" w:rsidP="00190330">
      <w:pPr>
        <w:spacing w:after="120" w:line="240" w:lineRule="atLeast"/>
        <w:jc w:val="both"/>
        <w:rPr>
          <w:rFonts w:ascii="Book Antiqua" w:hAnsi="Book Antiqua"/>
        </w:rPr>
      </w:pPr>
      <w:r w:rsidRPr="00157391">
        <w:rPr>
          <w:rFonts w:ascii="Book Antiqua" w:hAnsi="Book Antiqua"/>
        </w:rPr>
        <w:t>Vir: Eurydice - Citizenship Education in shools in Europe – 2017</w:t>
      </w:r>
    </w:p>
    <w:p w:rsidR="00190330" w:rsidRPr="00157391" w:rsidRDefault="00190330" w:rsidP="00FD493C"/>
    <w:sectPr w:rsidR="00190330" w:rsidRPr="001573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F3" w:rsidRDefault="007207F3" w:rsidP="00190330">
      <w:pPr>
        <w:spacing w:after="0" w:line="240" w:lineRule="auto"/>
      </w:pPr>
      <w:r>
        <w:separator/>
      </w:r>
    </w:p>
  </w:endnote>
  <w:endnote w:type="continuationSeparator" w:id="0">
    <w:p w:rsidR="007207F3" w:rsidRDefault="007207F3" w:rsidP="0019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F3" w:rsidRDefault="007207F3" w:rsidP="00190330">
      <w:pPr>
        <w:spacing w:after="0" w:line="240" w:lineRule="auto"/>
      </w:pPr>
      <w:r>
        <w:separator/>
      </w:r>
    </w:p>
  </w:footnote>
  <w:footnote w:type="continuationSeparator" w:id="0">
    <w:p w:rsidR="007207F3" w:rsidRDefault="007207F3" w:rsidP="00190330">
      <w:pPr>
        <w:spacing w:after="0" w:line="240" w:lineRule="auto"/>
      </w:pPr>
      <w:r>
        <w:continuationSeparator/>
      </w:r>
    </w:p>
  </w:footnote>
  <w:footnote w:id="1">
    <w:p w:rsidR="00190330" w:rsidRDefault="00190330" w:rsidP="00190330">
      <w:pPr>
        <w:pStyle w:val="Sprotnaopomba-besedil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67A3F"/>
    <w:multiLevelType w:val="hybridMultilevel"/>
    <w:tmpl w:val="16BC67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3C"/>
    <w:rsid w:val="00157391"/>
    <w:rsid w:val="00190330"/>
    <w:rsid w:val="00570955"/>
    <w:rsid w:val="007207F3"/>
    <w:rsid w:val="008D2057"/>
    <w:rsid w:val="00980D95"/>
    <w:rsid w:val="00B43D13"/>
    <w:rsid w:val="00BE001C"/>
    <w:rsid w:val="00D34963"/>
    <w:rsid w:val="00E26AF6"/>
    <w:rsid w:val="00FD49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190330"/>
    <w:pPr>
      <w:spacing w:after="0" w:line="240" w:lineRule="auto"/>
    </w:pPr>
    <w:rPr>
      <w:rFonts w:ascii="Times New Roman" w:eastAsia="Calibri"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190330"/>
    <w:rPr>
      <w:rFonts w:ascii="Times New Roman" w:eastAsia="Calibri" w:hAnsi="Times New Roman" w:cs="Times New Roman"/>
      <w:sz w:val="20"/>
      <w:szCs w:val="20"/>
      <w:lang w:eastAsia="sl-SI"/>
    </w:rPr>
  </w:style>
  <w:style w:type="paragraph" w:styleId="Odstavekseznama">
    <w:name w:val="List Paragraph"/>
    <w:basedOn w:val="Navaden"/>
    <w:uiPriority w:val="34"/>
    <w:qFormat/>
    <w:rsid w:val="00190330"/>
    <w:pPr>
      <w:spacing w:after="160" w:line="256" w:lineRule="auto"/>
      <w:ind w:left="720"/>
      <w:contextualSpacing/>
    </w:pPr>
  </w:style>
  <w:style w:type="character" w:styleId="Sprotnaopomba-sklic">
    <w:name w:val="footnote reference"/>
    <w:basedOn w:val="Privzetapisavaodstavka"/>
    <w:uiPriority w:val="99"/>
    <w:semiHidden/>
    <w:unhideWhenUsed/>
    <w:rsid w:val="001903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190330"/>
    <w:pPr>
      <w:spacing w:after="0" w:line="240" w:lineRule="auto"/>
    </w:pPr>
    <w:rPr>
      <w:rFonts w:ascii="Times New Roman" w:eastAsia="Calibri"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190330"/>
    <w:rPr>
      <w:rFonts w:ascii="Times New Roman" w:eastAsia="Calibri" w:hAnsi="Times New Roman" w:cs="Times New Roman"/>
      <w:sz w:val="20"/>
      <w:szCs w:val="20"/>
      <w:lang w:eastAsia="sl-SI"/>
    </w:rPr>
  </w:style>
  <w:style w:type="paragraph" w:styleId="Odstavekseznama">
    <w:name w:val="List Paragraph"/>
    <w:basedOn w:val="Navaden"/>
    <w:uiPriority w:val="34"/>
    <w:qFormat/>
    <w:rsid w:val="00190330"/>
    <w:pPr>
      <w:spacing w:after="160" w:line="256" w:lineRule="auto"/>
      <w:ind w:left="720"/>
      <w:contextualSpacing/>
    </w:pPr>
  </w:style>
  <w:style w:type="character" w:styleId="Sprotnaopomba-sklic">
    <w:name w:val="footnote reference"/>
    <w:basedOn w:val="Privzetapisavaodstavka"/>
    <w:uiPriority w:val="99"/>
    <w:semiHidden/>
    <w:unhideWhenUsed/>
    <w:rsid w:val="00190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9329">
      <w:bodyDiv w:val="1"/>
      <w:marLeft w:val="0"/>
      <w:marRight w:val="0"/>
      <w:marTop w:val="0"/>
      <w:marBottom w:val="0"/>
      <w:divBdr>
        <w:top w:val="none" w:sz="0" w:space="0" w:color="auto"/>
        <w:left w:val="none" w:sz="0" w:space="0" w:color="auto"/>
        <w:bottom w:val="none" w:sz="0" w:space="0" w:color="auto"/>
        <w:right w:val="none" w:sz="0" w:space="0" w:color="auto"/>
      </w:divBdr>
    </w:div>
    <w:div w:id="15728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2018-11-28T09:29:00Z</dcterms:created>
  <dcterms:modified xsi:type="dcterms:W3CDTF">2018-11-28T09:29:00Z</dcterms:modified>
</cp:coreProperties>
</file>