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72C8" w:rsidRDefault="00A972C8" w:rsidP="00F11B43">
      <w:pPr>
        <w:shd w:val="clear" w:color="auto" w:fill="D9D9D9"/>
        <w:jc w:val="both"/>
        <w:rPr>
          <w:rFonts w:cs="Consolas"/>
          <w:bCs/>
          <w:sz w:val="20"/>
          <w:szCs w:val="20"/>
        </w:rPr>
      </w:pPr>
      <w:r>
        <w:rPr>
          <w:rFonts w:cs="Consolas"/>
          <w:bCs/>
          <w:sz w:val="20"/>
          <w:szCs w:val="20"/>
        </w:rPr>
        <w:t>IZZIVI PRI DRUŽBOSLOVJU</w:t>
      </w:r>
    </w:p>
    <w:p w:rsidR="00F11B43" w:rsidRDefault="00A972C8" w:rsidP="00F11B43">
      <w:pPr>
        <w:shd w:val="clear" w:color="auto" w:fill="D9D9D9"/>
        <w:jc w:val="both"/>
        <w:rPr>
          <w:rFonts w:cs="Consolas"/>
          <w:bCs/>
          <w:sz w:val="20"/>
          <w:szCs w:val="20"/>
        </w:rPr>
      </w:pPr>
      <w:r>
        <w:rPr>
          <w:rFonts w:cs="Arial"/>
          <w:b/>
        </w:rPr>
        <w:t>Kako lahko letos obeležimo 27. januar, dan spomina na holokavst?</w:t>
      </w:r>
      <w:r>
        <w:rPr>
          <w:rFonts w:cs="Arial"/>
        </w:rPr>
        <w:t xml:space="preserve"> </w:t>
      </w:r>
      <w:r w:rsidR="00F11B43">
        <w:rPr>
          <w:rFonts w:cs="Consolas"/>
          <w:bCs/>
          <w:sz w:val="20"/>
          <w:szCs w:val="20"/>
        </w:rPr>
        <w:t xml:space="preserve"> </w:t>
      </w:r>
    </w:p>
    <w:p w:rsidR="003E4063" w:rsidRDefault="003E4063" w:rsidP="003E4063">
      <w:pPr>
        <w:spacing w:before="100" w:beforeAutospacing="1" w:after="240"/>
        <w:ind w:left="360"/>
        <w:jc w:val="both"/>
        <w:rPr>
          <w:rFonts w:cs="Arial"/>
        </w:rPr>
      </w:pPr>
      <w:r>
        <w:rPr>
          <w:rFonts w:cs="Arial"/>
        </w:rPr>
        <w:t>Nekaj idej, kako obeležiti dan spomina na holokavst boste skupaj z gradivi našli tudi na spletni strani Zavoda RS za šolstvo (</w:t>
      </w:r>
      <w:hyperlink r:id="rId7" w:history="1">
        <w:r>
          <w:rPr>
            <w:rStyle w:val="Hiperpovezava"/>
            <w:rFonts w:cs="Arial"/>
          </w:rPr>
          <w:t>www.zrss.si</w:t>
        </w:r>
      </w:hyperlink>
      <w:r>
        <w:rPr>
          <w:rFonts w:cs="Arial"/>
        </w:rPr>
        <w:t xml:space="preserve"> – predmeti – zgodovina –  pouk o holokavstu in drugih zločinih proti človeštvu).</w:t>
      </w:r>
      <w:r w:rsidR="007145BD">
        <w:rPr>
          <w:rFonts w:cs="Arial"/>
        </w:rPr>
        <w:t xml:space="preserve"> </w:t>
      </w:r>
      <w:bookmarkStart w:id="0" w:name="_GoBack"/>
      <w:bookmarkEnd w:id="0"/>
    </w:p>
    <w:p w:rsidR="003E4063" w:rsidRDefault="003E4063" w:rsidP="003E4063">
      <w:pPr>
        <w:spacing w:before="100" w:beforeAutospacing="1" w:after="240"/>
        <w:ind w:left="360"/>
        <w:jc w:val="both"/>
        <w:rPr>
          <w:rFonts w:cs="Arial"/>
        </w:rPr>
      </w:pPr>
      <w:r>
        <w:rPr>
          <w:rFonts w:cs="Arial"/>
        </w:rPr>
        <w:t>Še več gradiva pa je na voljo (v angleščini) na spletni strani muzeja Yad Vashem, povezavo pa najdete  na spodaj navedeni spletni strani:</w:t>
      </w:r>
    </w:p>
    <w:p w:rsidR="003E4063" w:rsidRDefault="003E4063" w:rsidP="003E4063">
      <w:pPr>
        <w:shd w:val="clear" w:color="auto" w:fill="D9D9D9"/>
        <w:jc w:val="both"/>
        <w:rPr>
          <w:rFonts w:cs="Consolas"/>
          <w:bCs/>
          <w:sz w:val="20"/>
          <w:szCs w:val="20"/>
        </w:rPr>
      </w:pPr>
      <w:r>
        <w:rPr>
          <w:rFonts w:cs="Arial"/>
        </w:rPr>
        <w:t xml:space="preserve">      </w:t>
      </w:r>
      <w:hyperlink r:id="rId8" w:history="1">
        <w:r>
          <w:rPr>
            <w:rStyle w:val="Hiperpovezava"/>
          </w:rPr>
          <w:t>http://www.holocausttaskforce.org/images/itf_data/documents/02_education/preparing_holocaust_memorial_days/preparing_holocaust_memorial_days-english.pdf</w:t>
        </w:r>
      </w:hyperlink>
    </w:p>
    <w:p w:rsidR="003E4063" w:rsidRDefault="007145BD" w:rsidP="007145BD">
      <w:pPr>
        <w:spacing w:before="100" w:beforeAutospacing="1" w:after="240"/>
        <w:jc w:val="both"/>
        <w:rPr>
          <w:rFonts w:cs="Arial"/>
        </w:rPr>
      </w:pPr>
      <w:r>
        <w:rPr>
          <w:rFonts w:cs="Arial"/>
        </w:rPr>
        <w:t>O</w:t>
      </w:r>
      <w:r>
        <w:rPr>
          <w:rFonts w:cs="Arial"/>
        </w:rPr>
        <w:t>gled in razgovor ob filmu o prvi mariborski zdravnici Klari Kukovec, ki je bila judovskega rodu in jo je usoda pripeljala v Slovenijo.</w:t>
      </w:r>
    </w:p>
    <w:p w:rsidR="007145BD" w:rsidRDefault="007145BD" w:rsidP="007145BD">
      <w:pPr>
        <w:spacing w:before="100" w:beforeAutospacing="1" w:after="240"/>
        <w:jc w:val="both"/>
        <w:rPr>
          <w:rFonts w:cs="Arial"/>
        </w:rPr>
      </w:pPr>
      <w:r>
        <w:rPr>
          <w:rFonts w:cs="Arial"/>
        </w:rPr>
        <w:t>Zgodba te izjemne ženske odpira namreč ne le vprašanje judovstva in holokavsta pač pa tudi enakopravnosti med spoloma, problem vztrajnosti pri izbiri poklica, verjetno pa boste sami v tem kratkem dokumentarno biografskem filmu našli še kako drugo sporočilo.</w:t>
      </w:r>
    </w:p>
    <w:p w:rsidR="007145BD" w:rsidRDefault="007145BD" w:rsidP="007145BD">
      <w:pPr>
        <w:spacing w:before="100" w:beforeAutospacing="1" w:after="240"/>
        <w:jc w:val="both"/>
        <w:rPr>
          <w:rFonts w:cs="Arial"/>
        </w:rPr>
      </w:pPr>
      <w:r>
        <w:rPr>
          <w:rFonts w:cs="Arial"/>
        </w:rPr>
        <w:t>Naslov filma:</w:t>
      </w:r>
    </w:p>
    <w:p w:rsidR="007145BD" w:rsidRDefault="007145BD" w:rsidP="007145BD">
      <w:pPr>
        <w:spacing w:before="100" w:beforeAutospacing="1" w:after="240"/>
        <w:jc w:val="both"/>
        <w:rPr>
          <w:rFonts w:cs="Arial"/>
        </w:rPr>
      </w:pPr>
      <w:hyperlink r:id="rId9" w:history="1">
        <w:r w:rsidRPr="00F02FA9">
          <w:rPr>
            <w:rStyle w:val="Hiperpovezava"/>
            <w:rFonts w:cs="Arial"/>
          </w:rPr>
          <w:t>https://www.youtube.com/watch?v=daRWEYHWcIchttps://www.youtube.com/watch?v=daRWEYHWcIc</w:t>
        </w:r>
      </w:hyperlink>
      <w:r>
        <w:rPr>
          <w:rFonts w:cs="Arial"/>
        </w:rPr>
        <w:t xml:space="preserve"> </w:t>
      </w:r>
    </w:p>
    <w:p w:rsidR="007145BD" w:rsidRDefault="007145BD" w:rsidP="007145BD">
      <w:pPr>
        <w:spacing w:before="100" w:beforeAutospacing="1" w:after="240"/>
        <w:jc w:val="both"/>
        <w:rPr>
          <w:rFonts w:cs="Arial"/>
        </w:rPr>
      </w:pPr>
      <w:r>
        <w:rPr>
          <w:rFonts w:cs="Arial"/>
        </w:rPr>
        <w:t>Spodaj: odlomek iz filma ''Klara Kukovec''.</w:t>
      </w:r>
    </w:p>
    <w:p w:rsidR="007145BD" w:rsidRDefault="007145BD" w:rsidP="007145BD">
      <w:pPr>
        <w:spacing w:before="100" w:beforeAutospacing="1" w:after="240"/>
        <w:ind w:left="360"/>
        <w:jc w:val="both"/>
        <w:rPr>
          <w:rFonts w:cs="Arial"/>
        </w:rPr>
      </w:pPr>
    </w:p>
    <w:p w:rsidR="007145BD" w:rsidRDefault="007145BD" w:rsidP="007145BD">
      <w:pPr>
        <w:spacing w:before="100" w:beforeAutospacing="1" w:after="240"/>
        <w:ind w:left="360"/>
        <w:jc w:val="both"/>
        <w:rPr>
          <w:rFonts w:cs="Arial"/>
        </w:rPr>
      </w:pPr>
      <w:r>
        <w:rPr>
          <w:noProof/>
        </w:rPr>
        <w:drawing>
          <wp:inline distT="0" distB="0" distL="0" distR="0" wp14:anchorId="3679E882" wp14:editId="7DD98D7A">
            <wp:extent cx="5284177" cy="2982760"/>
            <wp:effectExtent l="0" t="0" r="0" b="825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9617" t="18992" r="37081" b="27519"/>
                    <a:stretch/>
                  </pic:blipFill>
                  <pic:spPr bwMode="auto">
                    <a:xfrm>
                      <a:off x="0" y="0"/>
                      <a:ext cx="5323557" cy="3004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1B43" w:rsidRDefault="00F11B43" w:rsidP="00F11B43">
      <w:pPr>
        <w:shd w:val="clear" w:color="auto" w:fill="D9D9D9"/>
        <w:jc w:val="both"/>
        <w:rPr>
          <w:rFonts w:cs="Consolas"/>
          <w:bCs/>
          <w:sz w:val="20"/>
          <w:szCs w:val="20"/>
        </w:rPr>
      </w:pPr>
      <w:r>
        <w:rPr>
          <w:rFonts w:cs="Consolas"/>
          <w:bCs/>
          <w:sz w:val="20"/>
          <w:szCs w:val="20"/>
        </w:rPr>
        <w:lastRenderedPageBreak/>
        <w:t>Aktualni vir za delovanje:</w:t>
      </w:r>
    </w:p>
    <w:p w:rsidR="00F11B43" w:rsidRDefault="00F11B43" w:rsidP="00F11B43">
      <w:pPr>
        <w:shd w:val="clear" w:color="auto" w:fill="D9D9D9"/>
        <w:jc w:val="both"/>
        <w:rPr>
          <w:rFonts w:cs="Consolas"/>
          <w:bCs/>
          <w:sz w:val="20"/>
          <w:szCs w:val="20"/>
        </w:rPr>
      </w:pPr>
      <w:r>
        <w:rPr>
          <w:rFonts w:cs="Consolas"/>
          <w:bCs/>
          <w:sz w:val="20"/>
          <w:szCs w:val="20"/>
        </w:rPr>
        <w:t xml:space="preserve"> Delorjeva komisija</w:t>
      </w:r>
      <w:r>
        <w:rPr>
          <w:rStyle w:val="Sprotnaopomba-sklic"/>
          <w:rFonts w:cs="Consolas"/>
          <w:bCs/>
        </w:rPr>
        <w:footnoteReference w:customMarkFollows="1" w:id="1"/>
        <w:t>[1]</w:t>
      </w:r>
      <w:r>
        <w:rPr>
          <w:rFonts w:cs="Consolas"/>
          <w:bCs/>
          <w:sz w:val="20"/>
          <w:szCs w:val="20"/>
        </w:rPr>
        <w:t xml:space="preserve">  je v poročilu za Unesco navedla štiri temeljne stebre na katerih naj bi temeljilo izobraževanje v 21. stoletju: </w:t>
      </w:r>
    </w:p>
    <w:p w:rsidR="00F11B43" w:rsidRPr="00F11B43" w:rsidRDefault="00F11B43" w:rsidP="00F11B43">
      <w:pPr>
        <w:shd w:val="clear" w:color="auto" w:fill="D9D9D9"/>
        <w:jc w:val="both"/>
        <w:rPr>
          <w:rFonts w:cs="Consolas"/>
          <w:bCs/>
          <w:i/>
          <w:iCs/>
          <w:color w:val="F79646" w:themeColor="accent6"/>
          <w:sz w:val="20"/>
          <w:szCs w:val="20"/>
        </w:rPr>
      </w:pPr>
      <w:r w:rsidRPr="00F11B43">
        <w:rPr>
          <w:rFonts w:cs="Consolas"/>
          <w:bCs/>
          <w:i/>
          <w:iCs/>
          <w:color w:val="F79646" w:themeColor="accent6"/>
          <w:sz w:val="20"/>
          <w:szCs w:val="20"/>
        </w:rPr>
        <w:t>učiti se znati, učiti se delati, učiti se živeti skupaj in učiti se biti.</w:t>
      </w:r>
    </w:p>
    <w:p w:rsidR="00F11B43" w:rsidRDefault="00F11B43" w:rsidP="00F11B43">
      <w:pPr>
        <w:shd w:val="clear" w:color="auto" w:fill="D9D9D9"/>
        <w:jc w:val="both"/>
        <w:rPr>
          <w:rFonts w:cs="Consolas"/>
          <w:bCs/>
          <w:sz w:val="20"/>
          <w:szCs w:val="20"/>
        </w:rPr>
      </w:pPr>
      <w:r>
        <w:rPr>
          <w:rStyle w:val="Sprotnaopomba-sklic"/>
          <w:rFonts w:cs="Consolas"/>
        </w:rPr>
        <w:t>[1]</w:t>
      </w:r>
      <w:r>
        <w:rPr>
          <w:rFonts w:cs="Consolas"/>
          <w:sz w:val="20"/>
          <w:szCs w:val="20"/>
        </w:rPr>
        <w:t xml:space="preserve"> Delors, J. et al. (1996) </w:t>
      </w:r>
      <w:r>
        <w:rPr>
          <w:rFonts w:cs="Consolas"/>
          <w:i/>
          <w:iCs/>
          <w:sz w:val="20"/>
          <w:szCs w:val="20"/>
        </w:rPr>
        <w:t>Learning: the Treasure within. Report to UNESCO of the International Commission on Education for the 21</w:t>
      </w:r>
      <w:r>
        <w:rPr>
          <w:rFonts w:cs="Consolas"/>
          <w:i/>
          <w:iCs/>
          <w:sz w:val="20"/>
          <w:szCs w:val="20"/>
          <w:vertAlign w:val="superscript"/>
        </w:rPr>
        <w:t>st</w:t>
      </w:r>
      <w:r>
        <w:rPr>
          <w:rFonts w:cs="Consolas"/>
          <w:i/>
          <w:iCs/>
          <w:sz w:val="20"/>
          <w:szCs w:val="20"/>
        </w:rPr>
        <w:t xml:space="preserve">  Century. </w:t>
      </w:r>
      <w:r>
        <w:rPr>
          <w:rFonts w:cs="Consolas"/>
          <w:sz w:val="20"/>
          <w:szCs w:val="20"/>
        </w:rPr>
        <w:t>Paris: UNESCO.</w:t>
      </w:r>
    </w:p>
    <w:p w:rsidR="005146EB" w:rsidRDefault="005146EB"/>
    <w:sectPr w:rsidR="005146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6129" w:rsidRDefault="001E6129" w:rsidP="00F11B43">
      <w:pPr>
        <w:spacing w:after="0" w:line="240" w:lineRule="auto"/>
      </w:pPr>
      <w:r>
        <w:separator/>
      </w:r>
    </w:p>
  </w:endnote>
  <w:endnote w:type="continuationSeparator" w:id="0">
    <w:p w:rsidR="001E6129" w:rsidRDefault="001E6129" w:rsidP="00F11B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6129" w:rsidRDefault="001E6129" w:rsidP="00F11B43">
      <w:pPr>
        <w:spacing w:after="0" w:line="240" w:lineRule="auto"/>
      </w:pPr>
      <w:r>
        <w:separator/>
      </w:r>
    </w:p>
  </w:footnote>
  <w:footnote w:type="continuationSeparator" w:id="0">
    <w:p w:rsidR="001E6129" w:rsidRDefault="001E6129" w:rsidP="00F11B43">
      <w:pPr>
        <w:spacing w:after="0" w:line="240" w:lineRule="auto"/>
      </w:pPr>
      <w:r>
        <w:continuationSeparator/>
      </w:r>
    </w:p>
  </w:footnote>
  <w:footnote w:id="1">
    <w:p w:rsidR="00F11B43" w:rsidRDefault="00F11B43" w:rsidP="00F11B43">
      <w:pPr>
        <w:pStyle w:val="Sprotnaopomba-besedilo"/>
        <w:jc w:val="both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1B43"/>
    <w:rsid w:val="0017446B"/>
    <w:rsid w:val="001E6129"/>
    <w:rsid w:val="003E4063"/>
    <w:rsid w:val="005146EB"/>
    <w:rsid w:val="007145BD"/>
    <w:rsid w:val="009E6054"/>
    <w:rsid w:val="00A972C8"/>
    <w:rsid w:val="00CB1FD4"/>
    <w:rsid w:val="00F11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F11B4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F11B43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sl-SI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F11B43"/>
    <w:rPr>
      <w:rFonts w:ascii="Times New Roman" w:eastAsia="Calibri" w:hAnsi="Times New Roman" w:cs="Times New Roman"/>
      <w:sz w:val="20"/>
      <w:szCs w:val="20"/>
      <w:lang w:eastAsia="sl-SI"/>
    </w:rPr>
  </w:style>
  <w:style w:type="character" w:styleId="Sprotnaopomba-sklic">
    <w:name w:val="footnote reference"/>
    <w:basedOn w:val="Privzetapisavaodstavka"/>
    <w:uiPriority w:val="99"/>
    <w:semiHidden/>
    <w:unhideWhenUsed/>
    <w:rsid w:val="00F11B43"/>
    <w:rPr>
      <w:vertAlign w:val="superscript"/>
    </w:rPr>
  </w:style>
  <w:style w:type="character" w:styleId="Hiperpovezava">
    <w:name w:val="Hyperlink"/>
    <w:basedOn w:val="Privzetapisavaodstavka"/>
    <w:unhideWhenUsed/>
    <w:rsid w:val="003E4063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714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145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F11B4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F11B43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sl-SI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F11B43"/>
    <w:rPr>
      <w:rFonts w:ascii="Times New Roman" w:eastAsia="Calibri" w:hAnsi="Times New Roman" w:cs="Times New Roman"/>
      <w:sz w:val="20"/>
      <w:szCs w:val="20"/>
      <w:lang w:eastAsia="sl-SI"/>
    </w:rPr>
  </w:style>
  <w:style w:type="character" w:styleId="Sprotnaopomba-sklic">
    <w:name w:val="footnote reference"/>
    <w:basedOn w:val="Privzetapisavaodstavka"/>
    <w:uiPriority w:val="99"/>
    <w:semiHidden/>
    <w:unhideWhenUsed/>
    <w:rsid w:val="00F11B43"/>
    <w:rPr>
      <w:vertAlign w:val="superscript"/>
    </w:rPr>
  </w:style>
  <w:style w:type="character" w:styleId="Hiperpovezava">
    <w:name w:val="Hyperlink"/>
    <w:basedOn w:val="Privzetapisavaodstavka"/>
    <w:unhideWhenUsed/>
    <w:rsid w:val="003E4063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7145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145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085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olocausttaskforce.org/images/itf_data/documents/02_education/preparing_holocaust_memorial_days/preparing_holocaust_memorial_days-english.pdf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zrss.si" TargetMode="Externa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daRWEYHWcIchttps://www.youtube.com/watch?v=daRWEYHWcIc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277</Words>
  <Characters>1580</Characters>
  <Application>Microsoft Office Word</Application>
  <DocSecurity>0</DocSecurity>
  <Lines>13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Jožica Gramc</dc:creator>
  <cp:lastModifiedBy>Jožica Gramc</cp:lastModifiedBy>
  <cp:revision>6</cp:revision>
  <dcterms:created xsi:type="dcterms:W3CDTF">2019-01-22T10:03:00Z</dcterms:created>
  <dcterms:modified xsi:type="dcterms:W3CDTF">2019-01-22T10:14:00Z</dcterms:modified>
</cp:coreProperties>
</file>