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4BD13"/>
        <w:tblCellMar>
          <w:left w:w="0" w:type="dxa"/>
          <w:right w:w="0" w:type="dxa"/>
        </w:tblCellMar>
        <w:tblLook w:val="04A0" w:firstRow="1" w:lastRow="0" w:firstColumn="1" w:lastColumn="0" w:noHBand="0" w:noVBand="1"/>
      </w:tblPr>
      <w:tblGrid>
        <w:gridCol w:w="9072"/>
      </w:tblGrid>
      <w:tr w:rsidR="006B1385" w:rsidRPr="00F21AF1" w:rsidTr="006B1385">
        <w:trPr>
          <w:tblCellSpacing w:w="0" w:type="dxa"/>
          <w:jc w:val="center"/>
        </w:trPr>
        <w:tc>
          <w:tcPr>
            <w:tcW w:w="0" w:type="auto"/>
            <w:shd w:val="clear" w:color="auto" w:fill="F4BD13"/>
            <w:vAlign w:val="center"/>
            <w:hideMark/>
          </w:tcPr>
          <w:tbl>
            <w:tblPr>
              <w:tblW w:w="9075" w:type="dxa"/>
              <w:jc w:val="center"/>
              <w:tblCellSpacing w:w="0" w:type="dxa"/>
              <w:shd w:val="clear" w:color="auto" w:fill="7BC856"/>
              <w:tblCellMar>
                <w:left w:w="0" w:type="dxa"/>
                <w:right w:w="0" w:type="dxa"/>
              </w:tblCellMar>
              <w:tblLook w:val="04A0" w:firstRow="1" w:lastRow="0" w:firstColumn="1" w:lastColumn="0" w:noHBand="0" w:noVBand="1"/>
            </w:tblPr>
            <w:tblGrid>
              <w:gridCol w:w="9075"/>
            </w:tblGrid>
            <w:tr w:rsidR="006B1385" w:rsidRPr="00F21AF1">
              <w:trPr>
                <w:tblCellSpacing w:w="0" w:type="dxa"/>
                <w:jc w:val="center"/>
              </w:trPr>
              <w:tc>
                <w:tcPr>
                  <w:tcW w:w="5000" w:type="pct"/>
                  <w:shd w:val="clear" w:color="auto" w:fill="FFFFFF"/>
                </w:tcPr>
                <w:p w:rsidR="006B1385" w:rsidRPr="00F21AF1" w:rsidRDefault="006B1385">
                  <w:pPr>
                    <w:spacing w:line="0" w:lineRule="auto"/>
                    <w:rPr>
                      <w:rFonts w:asciiTheme="majorHAnsi" w:eastAsia="Times New Roman" w:hAnsiTheme="majorHAnsi" w:cstheme="majorHAnsi"/>
                      <w:color w:val="000000"/>
                      <w:sz w:val="22"/>
                      <w:szCs w:val="22"/>
                    </w:rPr>
                  </w:pPr>
                  <w:r w:rsidRPr="00F21AF1">
                    <w:rPr>
                      <w:rFonts w:asciiTheme="majorHAnsi" w:eastAsia="Times New Roman" w:hAnsiTheme="majorHAnsi" w:cstheme="majorHAnsi"/>
                      <w:color w:val="000000"/>
                      <w:sz w:val="22"/>
                      <w:szCs w:val="22"/>
                    </w:rPr>
                    <w:t> </w:t>
                  </w:r>
                </w:p>
                <w:p w:rsidR="006B1385" w:rsidRPr="00F21AF1" w:rsidRDefault="006B1385">
                  <w:pPr>
                    <w:spacing w:line="0" w:lineRule="auto"/>
                    <w:rPr>
                      <w:rFonts w:asciiTheme="majorHAnsi" w:eastAsia="Times New Roman" w:hAnsiTheme="majorHAnsi" w:cstheme="majorHAnsi"/>
                      <w:color w:val="000000"/>
                      <w:sz w:val="22"/>
                      <w:szCs w:val="22"/>
                    </w:rPr>
                  </w:pPr>
                  <w:r w:rsidRPr="00F21AF1">
                    <w:rPr>
                      <w:rFonts w:asciiTheme="majorHAnsi" w:eastAsia="Times New Roman" w:hAnsiTheme="majorHAnsi" w:cstheme="majorHAnsi"/>
                      <w:color w:val="000000"/>
                      <w:sz w:val="22"/>
                      <w:szCs w:val="22"/>
                    </w:rPr>
                    <w:t> </w:t>
                  </w:r>
                </w:p>
                <w:tbl>
                  <w:tblPr>
                    <w:tblW w:w="5000" w:type="pct"/>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jc w:val="center"/>
                          </w:trPr>
                          <w:tc>
                            <w:tcPr>
                              <w:tcW w:w="0" w:type="auto"/>
                              <w:tcBorders>
                                <w:top w:val="single" w:sz="48" w:space="0" w:color="F4BD13"/>
                                <w:left w:val="nil"/>
                                <w:bottom w:val="nil"/>
                                <w:right w:val="nil"/>
                              </w:tcBorders>
                              <w:vAlign w:val="center"/>
                              <w:hideMark/>
                            </w:tcPr>
                            <w:p w:rsidR="006B1385" w:rsidRPr="00F21AF1" w:rsidRDefault="006B1385">
                              <w:pPr>
                                <w:spacing w:line="15" w:lineRule="atLeast"/>
                                <w:rPr>
                                  <w:rFonts w:asciiTheme="majorHAnsi" w:eastAsia="Times New Roman" w:hAnsiTheme="majorHAnsi" w:cstheme="majorHAnsi"/>
                                  <w:sz w:val="22"/>
                                  <w:szCs w:val="22"/>
                                </w:rPr>
                              </w:pPr>
                              <w:r w:rsidRPr="00F21AF1">
                                <w:rPr>
                                  <w:rFonts w:asciiTheme="majorHAnsi" w:eastAsia="Times New Roman" w:hAnsiTheme="majorHAnsi" w:cstheme="majorHAnsi"/>
                                  <w:sz w:val="22"/>
                                  <w:szCs w:val="22"/>
                                </w:rPr>
                                <w:t> </w:t>
                              </w:r>
                            </w:p>
                          </w:tc>
                        </w:tr>
                      </w:tbl>
                      <w:p w:rsidR="006B1385" w:rsidRPr="00F21AF1" w:rsidRDefault="006B1385">
                        <w:pPr>
                          <w:jc w:val="center"/>
                          <w:rPr>
                            <w:rFonts w:asciiTheme="majorHAnsi" w:eastAsia="Times New Roman" w:hAnsiTheme="majorHAnsi" w:cstheme="majorHAnsi"/>
                            <w:sz w:val="22"/>
                            <w:szCs w:val="22"/>
                          </w:rPr>
                        </w:pPr>
                      </w:p>
                    </w:tc>
                  </w:tr>
                </w:tbl>
                <w:p w:rsidR="006B1385" w:rsidRPr="00F21AF1" w:rsidRDefault="006B1385">
                  <w:pPr>
                    <w:rPr>
                      <w:rFonts w:asciiTheme="majorHAnsi" w:eastAsia="Times New Roman" w:hAnsiTheme="majorHAnsi" w:cstheme="majorHAnsi"/>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trPr>
                    <w:tc>
                      <w:tcPr>
                        <w:tcW w:w="0" w:type="auto"/>
                        <w:tcMar>
                          <w:top w:w="300" w:type="dxa"/>
                          <w:left w:w="450" w:type="dxa"/>
                          <w:bottom w:w="375" w:type="dxa"/>
                          <w:right w:w="450" w:type="dxa"/>
                        </w:tcMar>
                        <w:vAlign w:val="center"/>
                        <w:hideMark/>
                      </w:tcPr>
                      <w:p w:rsidR="006B1385" w:rsidRPr="00F21AF1" w:rsidRDefault="006B1385">
                        <w:pPr>
                          <w:pStyle w:val="Navadensplet"/>
                          <w:spacing w:before="0" w:beforeAutospacing="0" w:after="0" w:afterAutospacing="0" w:line="198" w:lineRule="atLeast"/>
                          <w:jc w:val="center"/>
                          <w:rPr>
                            <w:rFonts w:asciiTheme="majorHAnsi" w:hAnsiTheme="majorHAnsi" w:cstheme="majorHAnsi"/>
                            <w:color w:val="134C75"/>
                            <w:sz w:val="22"/>
                            <w:szCs w:val="22"/>
                          </w:rPr>
                        </w:pPr>
                        <w:r w:rsidRPr="00F21AF1">
                          <w:rPr>
                            <w:rStyle w:val="Krepko"/>
                            <w:rFonts w:asciiTheme="majorHAnsi" w:hAnsiTheme="majorHAnsi" w:cstheme="majorHAnsi"/>
                            <w:color w:val="000000"/>
                            <w:sz w:val="22"/>
                            <w:szCs w:val="22"/>
                          </w:rPr>
                          <w:t>NAGOVARJAMO</w:t>
                        </w:r>
                      </w:p>
                    </w:tc>
                  </w:tr>
                </w:tbl>
                <w:p w:rsidR="006B1385" w:rsidRPr="00F21AF1" w:rsidRDefault="006B1385">
                  <w:pPr>
                    <w:rPr>
                      <w:rFonts w:asciiTheme="majorHAnsi" w:eastAsia="Times New Roman" w:hAnsiTheme="majorHAnsi" w:cstheme="majorHAnsi"/>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trPr>
                    <w:tc>
                      <w:tcPr>
                        <w:tcW w:w="5000" w:type="pct"/>
                        <w:vAlign w:val="center"/>
                        <w:hideMark/>
                      </w:tcPr>
                      <w:p w:rsidR="006B1385" w:rsidRPr="00F21AF1" w:rsidRDefault="006B1385">
                        <w:pPr>
                          <w:spacing w:line="150" w:lineRule="atLeast"/>
                          <w:jc w:val="center"/>
                          <w:rPr>
                            <w:rFonts w:asciiTheme="majorHAnsi" w:eastAsia="Times New Roman" w:hAnsiTheme="majorHAnsi" w:cstheme="majorHAnsi"/>
                            <w:sz w:val="22"/>
                            <w:szCs w:val="22"/>
                          </w:rPr>
                        </w:pPr>
                        <w:r w:rsidRPr="00F21AF1">
                          <w:rPr>
                            <w:rFonts w:asciiTheme="majorHAnsi" w:eastAsia="Times New Roman" w:hAnsiTheme="majorHAnsi" w:cstheme="majorHAnsi"/>
                            <w:noProof/>
                            <w:sz w:val="22"/>
                            <w:szCs w:val="22"/>
                          </w:rPr>
                          <w:drawing>
                            <wp:inline distT="0" distB="0" distL="0" distR="0">
                              <wp:extent cx="5760720" cy="3238500"/>
                              <wp:effectExtent l="0" t="0" r="0" b="0"/>
                              <wp:docPr id="1" name="Slika 1" descr="https://images.acblnk.com/images/acumbamail_qp2n46W57IKx75bZDR8g/Anica%20Zarja%20J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acblnk.com/images/acumbamail_qp2n46W57IKx75bZDR8g/Anica%20Zarja%20Jan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tc>
                  </w:tr>
                </w:tbl>
                <w:p w:rsidR="006B1385" w:rsidRPr="00F21AF1" w:rsidRDefault="006B1385">
                  <w:pPr>
                    <w:rPr>
                      <w:rFonts w:asciiTheme="majorHAnsi" w:eastAsia="Times New Roman" w:hAnsiTheme="majorHAnsi" w:cstheme="majorHAnsi"/>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trPr>
                    <w:tc>
                      <w:tcPr>
                        <w:tcW w:w="0" w:type="auto"/>
                        <w:tcMar>
                          <w:top w:w="300" w:type="dxa"/>
                          <w:left w:w="450" w:type="dxa"/>
                          <w:bottom w:w="300" w:type="dxa"/>
                          <w:right w:w="450" w:type="dxa"/>
                        </w:tcMar>
                        <w:vAlign w:val="center"/>
                        <w:hideMark/>
                      </w:tcPr>
                      <w:p w:rsidR="006B1385" w:rsidRPr="00F21AF1" w:rsidRDefault="006B1385">
                        <w:pPr>
                          <w:pStyle w:val="Navadensplet"/>
                          <w:spacing w:before="0" w:beforeAutospacing="0" w:after="0" w:afterAutospacing="0" w:line="324" w:lineRule="atLeast"/>
                          <w:rPr>
                            <w:rFonts w:asciiTheme="majorHAnsi" w:hAnsiTheme="majorHAnsi" w:cstheme="majorHAnsi"/>
                            <w:color w:val="7E7E7E"/>
                            <w:sz w:val="22"/>
                            <w:szCs w:val="22"/>
                          </w:rPr>
                        </w:pPr>
                        <w:r w:rsidRPr="00F21AF1">
                          <w:rPr>
                            <w:rFonts w:asciiTheme="majorHAnsi" w:hAnsiTheme="majorHAnsi" w:cstheme="majorHAnsi"/>
                            <w:color w:val="000000"/>
                            <w:sz w:val="22"/>
                            <w:szCs w:val="22"/>
                          </w:rPr>
                          <w:t xml:space="preserve">Vse bolj glasno so izražena pričakovanja in zahteve, da bi šola v večji meri vzgajala otroke v skrbi za dobre medčloveške odnose, sodelovanje, odgovornost do drugega in skupnosti, solidarnost, skratka za lastnosti, ki jih pokriva pojem človečnosti. O tem piše tudi dokument </w:t>
                        </w:r>
                        <w:hyperlink r:id="rId5" w:tgtFrame="_blank" w:history="1">
                          <w:r w:rsidRPr="00F21AF1">
                            <w:rPr>
                              <w:rStyle w:val="Hiperpovezava"/>
                              <w:rFonts w:asciiTheme="majorHAnsi" w:hAnsiTheme="majorHAnsi" w:cstheme="majorHAnsi"/>
                              <w:b/>
                              <w:bCs/>
                              <w:color w:val="F4BD13"/>
                              <w:sz w:val="22"/>
                              <w:szCs w:val="22"/>
                            </w:rPr>
                            <w:t xml:space="preserve">UNESCA </w:t>
                          </w:r>
                        </w:hyperlink>
                        <w:r w:rsidRPr="00F21AF1">
                          <w:rPr>
                            <w:rFonts w:asciiTheme="majorHAnsi" w:hAnsiTheme="majorHAnsi" w:cstheme="majorHAnsi"/>
                            <w:color w:val="000000"/>
                            <w:sz w:val="22"/>
                            <w:szCs w:val="22"/>
                          </w:rPr>
                          <w:t>iz leta 2021, ki govori o novi socialni pogodbi za izobraževanje in ki izpostavlja, da mora biti nova pedagogika organizirana okoli načel sodelovanja in solidarnosti. Razvijati mora intelektualne,  socialne in  moralne kapacitete učencev za skupno delovanje in spreminjanje sveta v smeri empatije, solidarnosti in socialne odgovornosti. Razvijanje prostovoljskega dela učencev je med učinkovitimi potmi takšne vzgoje.</w:t>
                        </w:r>
                        <w:r w:rsidRPr="00F21AF1">
                          <w:rPr>
                            <w:rFonts w:asciiTheme="majorHAnsi" w:hAnsiTheme="majorHAnsi" w:cstheme="majorHAnsi"/>
                            <w:color w:val="7E7E7E"/>
                            <w:sz w:val="22"/>
                            <w:szCs w:val="22"/>
                          </w:rPr>
                          <w:t xml:space="preserve"> </w:t>
                        </w:r>
                      </w:p>
                      <w:p w:rsidR="00F21AF1" w:rsidRDefault="006B1385">
                        <w:pPr>
                          <w:pStyle w:val="Navadensplet"/>
                          <w:spacing w:before="0" w:beforeAutospacing="0" w:after="0" w:afterAutospacing="0" w:line="324" w:lineRule="atLeast"/>
                          <w:rPr>
                            <w:rFonts w:asciiTheme="majorHAnsi" w:hAnsiTheme="majorHAnsi" w:cstheme="majorHAnsi"/>
                            <w:color w:val="000000"/>
                            <w:sz w:val="22"/>
                            <w:szCs w:val="22"/>
                          </w:rPr>
                        </w:pPr>
                        <w:r w:rsidRPr="00F21AF1">
                          <w:rPr>
                            <w:rFonts w:asciiTheme="majorHAnsi" w:hAnsiTheme="majorHAnsi" w:cstheme="majorHAnsi"/>
                            <w:color w:val="000000"/>
                            <w:sz w:val="22"/>
                            <w:szCs w:val="22"/>
                          </w:rPr>
                          <w:t xml:space="preserve">Običajno pravimo, da se vse zgodi v družini, tudi vzgoja otrok za </w:t>
                        </w:r>
                        <w:proofErr w:type="spellStart"/>
                        <w:r w:rsidRPr="00F21AF1">
                          <w:rPr>
                            <w:rFonts w:asciiTheme="majorHAnsi" w:hAnsiTheme="majorHAnsi" w:cstheme="majorHAnsi"/>
                            <w:color w:val="000000"/>
                            <w:sz w:val="22"/>
                            <w:szCs w:val="22"/>
                          </w:rPr>
                          <w:t>prosocialno</w:t>
                        </w:r>
                        <w:proofErr w:type="spellEnd"/>
                        <w:r w:rsidRPr="00F21AF1">
                          <w:rPr>
                            <w:rFonts w:asciiTheme="majorHAnsi" w:hAnsiTheme="majorHAnsi" w:cstheme="majorHAnsi"/>
                            <w:color w:val="000000"/>
                            <w:sz w:val="22"/>
                            <w:szCs w:val="22"/>
                          </w:rPr>
                          <w:t xml:space="preserve"> vedenje. Res je družina najpomembnejši </w:t>
                        </w:r>
                        <w:proofErr w:type="spellStart"/>
                        <w:r w:rsidRPr="00F21AF1">
                          <w:rPr>
                            <w:rFonts w:asciiTheme="majorHAnsi" w:hAnsiTheme="majorHAnsi" w:cstheme="majorHAnsi"/>
                            <w:color w:val="000000"/>
                            <w:sz w:val="22"/>
                            <w:szCs w:val="22"/>
                          </w:rPr>
                          <w:t>socializator</w:t>
                        </w:r>
                        <w:proofErr w:type="spellEnd"/>
                        <w:r w:rsidRPr="00F21AF1">
                          <w:rPr>
                            <w:rFonts w:asciiTheme="majorHAnsi" w:hAnsiTheme="majorHAnsi" w:cstheme="majorHAnsi"/>
                            <w:color w:val="000000"/>
                            <w:sz w:val="22"/>
                            <w:szCs w:val="22"/>
                          </w:rPr>
                          <w:t xml:space="preserve">. </w:t>
                        </w:r>
                      </w:p>
                      <w:p w:rsidR="006B1385" w:rsidRPr="00F21AF1" w:rsidRDefault="006B1385">
                        <w:pPr>
                          <w:pStyle w:val="Navadensplet"/>
                          <w:spacing w:before="0" w:beforeAutospacing="0" w:after="0" w:afterAutospacing="0" w:line="324" w:lineRule="atLeast"/>
                          <w:rPr>
                            <w:rFonts w:asciiTheme="majorHAnsi" w:hAnsiTheme="majorHAnsi" w:cstheme="majorHAnsi"/>
                            <w:color w:val="7E7E7E"/>
                            <w:sz w:val="22"/>
                            <w:szCs w:val="22"/>
                          </w:rPr>
                        </w:pPr>
                        <w:bookmarkStart w:id="0" w:name="_GoBack"/>
                        <w:bookmarkEnd w:id="0"/>
                        <w:r w:rsidRPr="00F21AF1">
                          <w:rPr>
                            <w:rFonts w:asciiTheme="majorHAnsi" w:hAnsiTheme="majorHAnsi" w:cstheme="majorHAnsi"/>
                            <w:color w:val="000000"/>
                            <w:sz w:val="22"/>
                            <w:szCs w:val="22"/>
                          </w:rPr>
                          <w:t>Toda mnoge družine so vpete v sodobni vrednostni sistem tekme za več, v »jaz« vrednote, obstajajo pa še drugi vzroki, zakaj mnogi otroci ne vstopijo v šolo zadostno opremljeni z vrednotami in vedenjem o človečnosti. Šola je za družino drugi najpomembnejši prostor socializacije in lahko tem otrokom zagotovi vzgojo za solidarnost in odgovornost do svoje skupnosti.</w:t>
                        </w:r>
                        <w:r w:rsidRPr="00F21AF1">
                          <w:rPr>
                            <w:rFonts w:asciiTheme="majorHAnsi" w:hAnsiTheme="majorHAnsi" w:cstheme="majorHAnsi"/>
                            <w:color w:val="7E7E7E"/>
                            <w:sz w:val="22"/>
                            <w:szCs w:val="22"/>
                          </w:rPr>
                          <w:t xml:space="preserve"> </w:t>
                        </w:r>
                      </w:p>
                      <w:p w:rsidR="006B1385" w:rsidRPr="00F21AF1" w:rsidRDefault="006B1385">
                        <w:pPr>
                          <w:pStyle w:val="Navadensplet"/>
                          <w:spacing w:before="0" w:beforeAutospacing="0" w:after="0" w:afterAutospacing="0" w:line="324" w:lineRule="atLeast"/>
                          <w:rPr>
                            <w:rFonts w:asciiTheme="majorHAnsi" w:hAnsiTheme="majorHAnsi" w:cstheme="majorHAnsi"/>
                            <w:color w:val="7E7E7E"/>
                            <w:sz w:val="22"/>
                            <w:szCs w:val="22"/>
                          </w:rPr>
                        </w:pPr>
                        <w:r w:rsidRPr="00F21AF1">
                          <w:rPr>
                            <w:rFonts w:asciiTheme="majorHAnsi" w:hAnsiTheme="majorHAnsi" w:cstheme="majorHAnsi"/>
                            <w:color w:val="000000"/>
                            <w:sz w:val="22"/>
                            <w:szCs w:val="22"/>
                          </w:rPr>
                          <w:t xml:space="preserve">Šola je za vse otroke prostor, v katerem se srečujejo in sobivajo z drugimi, so vpeti v vrstniške odnose in v nujnost sodelovanja. Šola je tudi prvo delovno mesto, torej prostor mnogoterih priložnosti izkustvenega  socialnega učenja. </w:t>
                        </w:r>
                        <w:r w:rsidRPr="00F21AF1">
                          <w:rPr>
                            <w:rFonts w:asciiTheme="majorHAnsi" w:hAnsiTheme="majorHAnsi" w:cstheme="majorHAnsi"/>
                            <w:b/>
                            <w:color w:val="000000"/>
                            <w:sz w:val="22"/>
                            <w:szCs w:val="22"/>
                          </w:rPr>
                          <w:t>Najbolj uspešen način socialnega učenja je izkustveno učenje skozi delovanje.</w:t>
                        </w:r>
                        <w:r w:rsidRPr="00F21AF1">
                          <w:rPr>
                            <w:rFonts w:asciiTheme="majorHAnsi" w:hAnsiTheme="majorHAnsi" w:cstheme="majorHAnsi"/>
                            <w:color w:val="000000"/>
                            <w:sz w:val="22"/>
                            <w:szCs w:val="22"/>
                          </w:rPr>
                          <w:t xml:space="preserve"> Med priložnostmi za takšno učenje ima prostovoljsko  delo  posebno vzgojno vrednost.  Vplivnost prostovoljskega dela na mlade </w:t>
                        </w:r>
                        <w:r w:rsidRPr="00F21AF1">
                          <w:rPr>
                            <w:rFonts w:asciiTheme="majorHAnsi" w:hAnsiTheme="majorHAnsi" w:cstheme="majorHAnsi"/>
                            <w:color w:val="000000"/>
                            <w:sz w:val="22"/>
                            <w:szCs w:val="22"/>
                          </w:rPr>
                          <w:lastRenderedPageBreak/>
                          <w:t>prostovoljce se poveča z refleksijo – sistematičnimi pogovori z otroki o tem, kakšni so učinki in korist njihovega delovanja za ljudi v stiski, za dobrobit skupnosti in za njih same.</w:t>
                        </w:r>
                        <w:r w:rsidRPr="00F21AF1">
                          <w:rPr>
                            <w:rFonts w:asciiTheme="majorHAnsi" w:hAnsiTheme="majorHAnsi" w:cstheme="majorHAnsi"/>
                            <w:color w:val="7E7E7E"/>
                            <w:sz w:val="22"/>
                            <w:szCs w:val="22"/>
                          </w:rPr>
                          <w:t xml:space="preserve"> </w:t>
                        </w:r>
                      </w:p>
                      <w:p w:rsidR="006B1385" w:rsidRPr="00F21AF1" w:rsidRDefault="006B1385">
                        <w:pPr>
                          <w:pStyle w:val="Navadensplet"/>
                          <w:spacing w:before="0" w:beforeAutospacing="0" w:after="0" w:afterAutospacing="0" w:line="324" w:lineRule="atLeast"/>
                          <w:rPr>
                            <w:rFonts w:asciiTheme="majorHAnsi" w:hAnsiTheme="majorHAnsi" w:cstheme="majorHAnsi"/>
                            <w:color w:val="7E7E7E"/>
                            <w:sz w:val="22"/>
                            <w:szCs w:val="22"/>
                          </w:rPr>
                        </w:pPr>
                        <w:r w:rsidRPr="00F21AF1">
                          <w:rPr>
                            <w:rFonts w:asciiTheme="majorHAnsi" w:hAnsiTheme="majorHAnsi" w:cstheme="majorHAnsi"/>
                            <w:color w:val="000000"/>
                            <w:sz w:val="22"/>
                            <w:szCs w:val="22"/>
                          </w:rPr>
                          <w:t xml:space="preserve">Številne šole v Sloveniji so razvile odlične modele prostovoljskega dela in se od njih lahko veliko naučimo. Želeli bi si, da bi vzgoja in razvijanje veščin za </w:t>
                        </w:r>
                        <w:proofErr w:type="spellStart"/>
                        <w:r w:rsidRPr="00F21AF1">
                          <w:rPr>
                            <w:rFonts w:asciiTheme="majorHAnsi" w:hAnsiTheme="majorHAnsi" w:cstheme="majorHAnsi"/>
                            <w:color w:val="000000"/>
                            <w:sz w:val="22"/>
                            <w:szCs w:val="22"/>
                          </w:rPr>
                          <w:t>prosocialno</w:t>
                        </w:r>
                        <w:proofErr w:type="spellEnd"/>
                        <w:r w:rsidRPr="00F21AF1">
                          <w:rPr>
                            <w:rFonts w:asciiTheme="majorHAnsi" w:hAnsiTheme="majorHAnsi" w:cstheme="majorHAnsi"/>
                            <w:color w:val="000000"/>
                            <w:sz w:val="22"/>
                            <w:szCs w:val="22"/>
                          </w:rPr>
                          <w:t xml:space="preserve"> vedenje postali eden od stebrov delovanja šolskega sistema.</w:t>
                        </w:r>
                      </w:p>
                      <w:p w:rsidR="006B1385" w:rsidRPr="00F21AF1" w:rsidRDefault="006B1385">
                        <w:pPr>
                          <w:pStyle w:val="Navadensplet"/>
                          <w:spacing w:before="0" w:beforeAutospacing="0" w:after="0" w:afterAutospacing="0" w:line="216" w:lineRule="atLeast"/>
                          <w:rPr>
                            <w:rFonts w:asciiTheme="majorHAnsi" w:hAnsiTheme="majorHAnsi" w:cstheme="majorHAnsi"/>
                            <w:color w:val="7E7E7E"/>
                            <w:sz w:val="22"/>
                            <w:szCs w:val="22"/>
                          </w:rPr>
                        </w:pPr>
                        <w:r w:rsidRPr="00F21AF1">
                          <w:rPr>
                            <w:rFonts w:asciiTheme="majorHAnsi" w:hAnsiTheme="majorHAnsi" w:cstheme="majorHAnsi"/>
                            <w:color w:val="7E7E7E"/>
                            <w:sz w:val="22"/>
                            <w:szCs w:val="22"/>
                          </w:rPr>
                          <w:t> </w:t>
                        </w:r>
                      </w:p>
                      <w:p w:rsidR="006B1385" w:rsidRPr="00F21AF1" w:rsidRDefault="006B1385">
                        <w:pPr>
                          <w:pStyle w:val="Navadensplet"/>
                          <w:spacing w:before="0" w:beforeAutospacing="0" w:after="0" w:afterAutospacing="0" w:line="324" w:lineRule="atLeast"/>
                          <w:rPr>
                            <w:rFonts w:asciiTheme="majorHAnsi" w:hAnsiTheme="majorHAnsi" w:cstheme="majorHAnsi"/>
                            <w:color w:val="7E7E7E"/>
                            <w:sz w:val="22"/>
                            <w:szCs w:val="22"/>
                          </w:rPr>
                        </w:pPr>
                        <w:r w:rsidRPr="00F21AF1">
                          <w:rPr>
                            <w:rFonts w:asciiTheme="majorHAnsi" w:hAnsiTheme="majorHAnsi" w:cstheme="majorHAnsi"/>
                            <w:color w:val="000000"/>
                            <w:sz w:val="22"/>
                            <w:szCs w:val="22"/>
                          </w:rPr>
                          <w:t>Anica Mikuš Kos, predsednica Slovenske filantropije</w:t>
                        </w:r>
                      </w:p>
                    </w:tc>
                  </w:tr>
                </w:tbl>
                <w:p w:rsidR="006B1385" w:rsidRPr="00F21AF1" w:rsidRDefault="006B1385">
                  <w:pPr>
                    <w:rPr>
                      <w:rFonts w:asciiTheme="majorHAnsi" w:eastAsia="Times New Roman" w:hAnsiTheme="majorHAnsi" w:cstheme="majorHAnsi"/>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5"/>
                        </w:tblGrid>
                        <w:tr w:rsidR="006B1385" w:rsidRPr="00F21AF1">
                          <w:trPr>
                            <w:tblCellSpacing w:w="0" w:type="dxa"/>
                            <w:jc w:val="center"/>
                          </w:trPr>
                          <w:tc>
                            <w:tcPr>
                              <w:tcW w:w="0" w:type="auto"/>
                              <w:tcBorders>
                                <w:top w:val="single" w:sz="48" w:space="0" w:color="F4BD13"/>
                                <w:left w:val="nil"/>
                                <w:bottom w:val="nil"/>
                                <w:right w:val="nil"/>
                              </w:tcBorders>
                              <w:vAlign w:val="center"/>
                              <w:hideMark/>
                            </w:tcPr>
                            <w:p w:rsidR="006B1385" w:rsidRPr="00F21AF1" w:rsidRDefault="006B1385">
                              <w:pPr>
                                <w:spacing w:line="15" w:lineRule="atLeast"/>
                                <w:rPr>
                                  <w:rFonts w:asciiTheme="majorHAnsi" w:eastAsia="Times New Roman" w:hAnsiTheme="majorHAnsi" w:cstheme="majorHAnsi"/>
                                  <w:sz w:val="22"/>
                                  <w:szCs w:val="22"/>
                                </w:rPr>
                              </w:pPr>
                              <w:r w:rsidRPr="00F21AF1">
                                <w:rPr>
                                  <w:rFonts w:asciiTheme="majorHAnsi" w:eastAsia="Times New Roman" w:hAnsiTheme="majorHAnsi" w:cstheme="majorHAnsi"/>
                                  <w:sz w:val="22"/>
                                  <w:szCs w:val="22"/>
                                </w:rPr>
                                <w:t> </w:t>
                              </w:r>
                            </w:p>
                          </w:tc>
                        </w:tr>
                      </w:tbl>
                      <w:p w:rsidR="006B1385" w:rsidRPr="00F21AF1" w:rsidRDefault="006B1385">
                        <w:pPr>
                          <w:jc w:val="center"/>
                          <w:rPr>
                            <w:rFonts w:asciiTheme="majorHAnsi" w:eastAsia="Times New Roman" w:hAnsiTheme="majorHAnsi" w:cstheme="majorHAnsi"/>
                            <w:sz w:val="22"/>
                            <w:szCs w:val="22"/>
                          </w:rPr>
                        </w:pPr>
                      </w:p>
                    </w:tc>
                  </w:tr>
                </w:tbl>
                <w:p w:rsidR="006B1385" w:rsidRPr="00F21AF1" w:rsidRDefault="006B1385">
                  <w:pPr>
                    <w:rPr>
                      <w:rFonts w:asciiTheme="majorHAnsi" w:eastAsia="Times New Roman" w:hAnsiTheme="majorHAnsi" w:cstheme="majorHAnsi"/>
                      <w:sz w:val="22"/>
                      <w:szCs w:val="22"/>
                    </w:rPr>
                  </w:pPr>
                </w:p>
              </w:tc>
            </w:tr>
          </w:tbl>
          <w:p w:rsidR="006B1385" w:rsidRPr="00F21AF1" w:rsidRDefault="006B1385">
            <w:pPr>
              <w:jc w:val="center"/>
              <w:rPr>
                <w:rFonts w:asciiTheme="majorHAnsi" w:eastAsia="Times New Roman" w:hAnsiTheme="majorHAnsi" w:cstheme="majorHAnsi"/>
                <w:sz w:val="22"/>
                <w:szCs w:val="22"/>
              </w:rPr>
            </w:pPr>
          </w:p>
        </w:tc>
      </w:tr>
    </w:tbl>
    <w:p w:rsidR="00606C4B" w:rsidRPr="00F21AF1" w:rsidRDefault="00606C4B">
      <w:pPr>
        <w:rPr>
          <w:rFonts w:asciiTheme="majorHAnsi" w:hAnsiTheme="majorHAnsi" w:cstheme="majorHAnsi"/>
          <w:sz w:val="22"/>
          <w:szCs w:val="22"/>
        </w:rPr>
      </w:pPr>
    </w:p>
    <w:sectPr w:rsidR="00606C4B" w:rsidRPr="00F21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85"/>
    <w:rsid w:val="00606C4B"/>
    <w:rsid w:val="006B1385"/>
    <w:rsid w:val="00F21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0CAE"/>
  <w15:chartTrackingRefBased/>
  <w15:docId w15:val="{3F45DD6B-87B9-4FF1-8B28-556985B1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1385"/>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B1385"/>
    <w:rPr>
      <w:color w:val="0000FF"/>
      <w:u w:val="single"/>
    </w:rPr>
  </w:style>
  <w:style w:type="paragraph" w:styleId="Navadensplet">
    <w:name w:val="Normal (Web)"/>
    <w:basedOn w:val="Navaden"/>
    <w:uiPriority w:val="99"/>
    <w:semiHidden/>
    <w:unhideWhenUsed/>
    <w:rsid w:val="006B1385"/>
    <w:pPr>
      <w:spacing w:before="100" w:beforeAutospacing="1" w:after="100" w:afterAutospacing="1"/>
    </w:pPr>
  </w:style>
  <w:style w:type="character" w:styleId="Krepko">
    <w:name w:val="Strong"/>
    <w:basedOn w:val="Privzetapisavaodstavka"/>
    <w:uiPriority w:val="22"/>
    <w:qFormat/>
    <w:rsid w:val="006B1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3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stavljalec.emlsend.com/url/ver/386554321/2055047/ebdce719ab22b1d4062845c6084bb8d7"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2023-03-15T09:41:00Z</dcterms:created>
  <dcterms:modified xsi:type="dcterms:W3CDTF">2023-03-15T10:20:00Z</dcterms:modified>
</cp:coreProperties>
</file>